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10"/>
        <w:gridCol w:w="4206"/>
      </w:tblGrid>
      <w:tr w:rsidR="004D4FE4" w:rsidRPr="007A0B98" w:rsidTr="009A38E5">
        <w:tc>
          <w:tcPr>
            <w:tcW w:w="4810" w:type="dxa"/>
          </w:tcPr>
          <w:p w:rsidR="004D4FE4" w:rsidRPr="00B5006C" w:rsidRDefault="004D4FE4" w:rsidP="009A38E5">
            <w:pPr>
              <w:spacing w:after="160" w:line="259" w:lineRule="auto"/>
              <w:rPr>
                <w:rFonts w:ascii="Arial" w:hAnsi="Arial" w:cs="Arial"/>
                <w:b/>
              </w:rPr>
            </w:pPr>
            <w:r w:rsidRPr="00584668">
              <w:rPr>
                <w:rFonts w:ascii="Arial" w:hAnsi="Arial" w:cs="Arial"/>
                <w:b/>
              </w:rPr>
              <w:t xml:space="preserve">Are you running a trade promotion? Unsure about the requirements? </w:t>
            </w:r>
          </w:p>
          <w:p w:rsidR="004D4FE4" w:rsidRPr="00584668" w:rsidRDefault="004D4FE4" w:rsidP="009A38E5">
            <w:pPr>
              <w:spacing w:after="160" w:line="259" w:lineRule="auto"/>
              <w:rPr>
                <w:rFonts w:ascii="Arial" w:hAnsi="Arial" w:cs="Arial"/>
                <w:b/>
              </w:rPr>
            </w:pPr>
            <w:r w:rsidRPr="00D33C71">
              <w:rPr>
                <w:rFonts w:ascii="Arial" w:hAnsi="Arial" w:cs="Arial"/>
                <w:b/>
                <w:lang w:val="da"/>
              </w:rPr>
              <w:t>Quý vị có đang hoạt động quảng bá thương mại không?</w:t>
            </w:r>
            <w:r w:rsidRPr="00D33C71">
              <w:rPr>
                <w:rFonts w:ascii="Arial" w:hAnsi="Arial" w:cs="Arial"/>
                <w:b/>
              </w:rPr>
              <w:t xml:space="preserve"> </w:t>
            </w:r>
            <w:r w:rsidRPr="00D33C71">
              <w:rPr>
                <w:rFonts w:ascii="Arial" w:hAnsi="Arial" w:cs="Arial"/>
                <w:b/>
                <w:lang w:val="da"/>
              </w:rPr>
              <w:t>Quý vị có biết rõ về các quy định không?</w:t>
            </w:r>
            <w:r w:rsidRPr="00D33C71">
              <w:rPr>
                <w:rFonts w:ascii="Arial" w:hAnsi="Arial" w:cs="Arial"/>
                <w:b/>
              </w:rPr>
              <w:t xml:space="preserve"> </w:t>
            </w:r>
          </w:p>
          <w:p w:rsidR="004D4FE4" w:rsidRPr="00D33C71" w:rsidRDefault="004D4FE4" w:rsidP="009A38E5">
            <w:pPr>
              <w:rPr>
                <w:rFonts w:ascii="Arial" w:eastAsia="Times New Roman" w:hAnsi="Arial" w:cs="Arial"/>
                <w:lang w:val="en" w:eastAsia="en-AU"/>
              </w:rPr>
            </w:pPr>
            <w:r w:rsidRPr="00D33C71">
              <w:rPr>
                <w:rFonts w:ascii="Arial" w:eastAsia="Times New Roman" w:hAnsi="Arial" w:cs="Arial"/>
                <w:lang w:val="da" w:eastAsia="en-AU"/>
              </w:rPr>
              <w:t xml:space="preserve">Quảng bá thương mại là cuộc xổ số được thiết kế để quảng bá thương mại hoặc doanh nghiệp, ví dụ: mua một chai coca côla sau đó gửi SMS, gửi email hoặc </w:t>
            </w:r>
            <w:r>
              <w:rPr>
                <w:rFonts w:ascii="Arial" w:eastAsia="Times New Roman" w:hAnsi="Arial" w:cs="Arial"/>
                <w:lang w:val="da" w:eastAsia="en-AU"/>
              </w:rPr>
              <w:t>gửi</w:t>
            </w:r>
            <w:r w:rsidRPr="00D33C71">
              <w:rPr>
                <w:rFonts w:ascii="Arial" w:eastAsia="Times New Roman" w:hAnsi="Arial" w:cs="Arial"/>
                <w:lang w:val="da" w:eastAsia="en-AU"/>
              </w:rPr>
              <w:t xml:space="preserve"> chi tiết của quý vị để tham gia trúng thưởng.</w:t>
            </w:r>
          </w:p>
          <w:p w:rsidR="004D4FE4" w:rsidRDefault="004D4FE4" w:rsidP="009A38E5">
            <w:pPr>
              <w:rPr>
                <w:rFonts w:ascii="Arial" w:eastAsia="Times New Roman" w:hAnsi="Arial" w:cs="Arial"/>
                <w:lang w:val="en" w:eastAsia="en-AU"/>
              </w:rPr>
            </w:pPr>
          </w:p>
          <w:p w:rsidR="004D4FE4" w:rsidRPr="00584668" w:rsidRDefault="004D4FE4" w:rsidP="009A38E5">
            <w:pPr>
              <w:rPr>
                <w:rFonts w:ascii="Arial" w:eastAsia="Times New Roman" w:hAnsi="Arial" w:cs="Arial"/>
                <w:lang w:val="en" w:eastAsia="en-AU"/>
              </w:rPr>
            </w:pPr>
            <w:r w:rsidRPr="00D33C71">
              <w:rPr>
                <w:rFonts w:ascii="Arial" w:eastAsia="Times New Roman" w:hAnsi="Arial" w:cs="Arial"/>
                <w:lang w:val="da" w:eastAsia="en-AU"/>
              </w:rPr>
              <w:t xml:space="preserve">Các tổ chức từ thiện và cộng đồng có thể tiến hành xổ số quảng bá thương mại nhưng cần đăng ký với Ủy ban Quy </w:t>
            </w:r>
            <w:r>
              <w:rPr>
                <w:rFonts w:ascii="Arial" w:eastAsia="Times New Roman" w:hAnsi="Arial" w:cs="Arial"/>
                <w:lang w:val="da" w:eastAsia="en-AU"/>
              </w:rPr>
              <w:t>tắc về</w:t>
            </w:r>
            <w:r w:rsidRPr="00D33C71">
              <w:rPr>
                <w:rFonts w:ascii="Arial" w:eastAsia="Times New Roman" w:hAnsi="Arial" w:cs="Arial"/>
                <w:lang w:val="da" w:eastAsia="en-AU"/>
              </w:rPr>
              <w:t xml:space="preserve"> Cờ bạc và Rượu bia Victoria (VCGLR).</w:t>
            </w:r>
            <w:r w:rsidRPr="00D33C71">
              <w:rPr>
                <w:rFonts w:ascii="Arial" w:eastAsia="Times New Roman" w:hAnsi="Arial" w:cs="Arial"/>
                <w:lang w:val="en" w:eastAsia="en-AU"/>
              </w:rPr>
              <w:t xml:space="preserve"> </w:t>
            </w:r>
            <w:r w:rsidRPr="00584668">
              <w:rPr>
                <w:rFonts w:ascii="Arial" w:eastAsia="Times New Roman" w:hAnsi="Arial" w:cs="Arial"/>
                <w:lang w:val="en" w:eastAsia="en-AU"/>
              </w:rPr>
              <w:t xml:space="preserve"> </w:t>
            </w:r>
          </w:p>
          <w:p w:rsidR="004D4FE4" w:rsidRPr="00584668" w:rsidRDefault="004D4FE4" w:rsidP="009A38E5">
            <w:pPr>
              <w:spacing w:after="160" w:line="259" w:lineRule="auto"/>
              <w:rPr>
                <w:rFonts w:ascii="Arial" w:hAnsi="Arial" w:cs="Arial"/>
                <w:lang w:val="en"/>
              </w:rPr>
            </w:pPr>
          </w:p>
          <w:p w:rsidR="004D4FE4" w:rsidRPr="00584668" w:rsidRDefault="004D4FE4" w:rsidP="009A38E5">
            <w:pPr>
              <w:spacing w:after="160" w:line="259" w:lineRule="auto"/>
              <w:rPr>
                <w:rFonts w:ascii="Arial" w:eastAsia="Times New Roman" w:hAnsi="Arial" w:cs="Arial"/>
                <w:lang w:val="en" w:eastAsia="en-AU"/>
              </w:rPr>
            </w:pPr>
            <w:r w:rsidRPr="00D33C71">
              <w:rPr>
                <w:rFonts w:ascii="Arial" w:eastAsia="Times New Roman" w:hAnsi="Arial" w:cs="Arial"/>
                <w:lang w:val="da" w:eastAsia="en-AU"/>
              </w:rPr>
              <w:t>Để kiểm tra xem quý vị đã đăng ký chưa</w:t>
            </w:r>
            <w:r>
              <w:rPr>
                <w:rFonts w:ascii="Arial" w:eastAsia="Times New Roman" w:hAnsi="Arial" w:cs="Arial"/>
                <w:lang w:val="da" w:eastAsia="en-AU"/>
              </w:rPr>
              <w:t xml:space="preserve"> hãy tìm</w:t>
            </w:r>
            <w:r w:rsidRPr="00D33C71">
              <w:rPr>
                <w:rFonts w:ascii="Arial" w:eastAsia="Times New Roman" w:hAnsi="Arial" w:cs="Arial"/>
                <w:lang w:val="da" w:eastAsia="en-AU"/>
              </w:rPr>
              <w:t xml:space="preserve"> </w:t>
            </w:r>
            <w:hyperlink r:id="rId4" w:history="1">
              <w:r w:rsidRPr="00D33C71">
                <w:rPr>
                  <w:rFonts w:ascii="Arial" w:eastAsia="Times New Roman" w:hAnsi="Arial" w:cs="Arial"/>
                  <w:color w:val="0563C1" w:themeColor="hyperlink"/>
                  <w:u w:val="single"/>
                  <w:lang w:val="da" w:eastAsia="en-AU"/>
                </w:rPr>
                <w:t>VCGLR database</w:t>
              </w:r>
            </w:hyperlink>
            <w:r w:rsidRPr="00D33C71">
              <w:rPr>
                <w:rFonts w:ascii="Arial" w:eastAsia="Times New Roman" w:hAnsi="Arial" w:cs="Arial"/>
                <w:lang w:val="da" w:eastAsia="en-AU"/>
              </w:rPr>
              <w:t>.</w:t>
            </w:r>
            <w:r w:rsidRPr="00D33C71">
              <w:rPr>
                <w:rFonts w:ascii="Arial" w:eastAsia="Times New Roman" w:hAnsi="Arial" w:cs="Arial"/>
                <w:lang w:val="en" w:eastAsia="en-AU"/>
              </w:rPr>
              <w:t xml:space="preserve"> </w:t>
            </w:r>
          </w:p>
          <w:p w:rsidR="004D4FE4" w:rsidRPr="00D33C71" w:rsidRDefault="004D4FE4" w:rsidP="009A38E5">
            <w:pPr>
              <w:spacing w:after="160" w:line="259" w:lineRule="auto"/>
              <w:rPr>
                <w:rFonts w:ascii="Arial" w:eastAsia="Times New Roman" w:hAnsi="Arial" w:cs="Arial"/>
                <w:lang w:val="en" w:eastAsia="en-AU"/>
              </w:rPr>
            </w:pPr>
            <w:r w:rsidRPr="00D33C71">
              <w:rPr>
                <w:rFonts w:ascii="Arial" w:eastAsia="Times New Roman" w:hAnsi="Arial" w:cs="Arial"/>
                <w:lang w:val="da" w:eastAsia="en-AU"/>
              </w:rPr>
              <w:t xml:space="preserve">Nếu chưa, quý vị có thể hoàn tất thủ tục </w:t>
            </w:r>
            <w:hyperlink r:id="rId5" w:history="1">
              <w:r w:rsidRPr="00D33C71">
                <w:rPr>
                  <w:rFonts w:ascii="Arial" w:eastAsia="Times New Roman" w:hAnsi="Arial" w:cs="Arial"/>
                  <w:color w:val="0563C1" w:themeColor="hyperlink"/>
                  <w:u w:val="single"/>
                  <w:lang w:val="da" w:eastAsia="en-AU"/>
                </w:rPr>
                <w:t>application form</w:t>
              </w:r>
            </w:hyperlink>
            <w:r w:rsidRPr="00D33C71">
              <w:rPr>
                <w:rFonts w:ascii="Arial" w:eastAsia="Times New Roman" w:hAnsi="Arial" w:cs="Arial"/>
                <w:lang w:val="da" w:eastAsia="en-AU"/>
              </w:rPr>
              <w:t>.</w:t>
            </w:r>
          </w:p>
          <w:p w:rsidR="004D4FE4" w:rsidRPr="00D33C71" w:rsidRDefault="004D4FE4" w:rsidP="009A38E5">
            <w:pPr>
              <w:spacing w:after="160" w:line="259" w:lineRule="auto"/>
              <w:rPr>
                <w:rFonts w:ascii="Arial" w:hAnsi="Arial" w:cs="Arial"/>
                <w:lang w:val="en"/>
              </w:rPr>
            </w:pPr>
            <w:r w:rsidRPr="00D33C71">
              <w:rPr>
                <w:rFonts w:ascii="Arial" w:hAnsi="Arial" w:cs="Arial"/>
                <w:lang w:val="da"/>
              </w:rPr>
              <w:t>Việc tiến hành quảng bá thương mại không bắt buộc phải có giấy phép nhưng phải đáp ứng các điều kiện nhất định, nếu không sẽ bị phạt.</w:t>
            </w:r>
          </w:p>
          <w:p w:rsidR="004D4FE4" w:rsidRPr="00D33C71" w:rsidRDefault="004D4FE4" w:rsidP="009A38E5">
            <w:pPr>
              <w:spacing w:after="160" w:line="259" w:lineRule="auto"/>
              <w:rPr>
                <w:rFonts w:ascii="Arial" w:eastAsia="Times New Roman" w:hAnsi="Arial" w:cs="Arial"/>
                <w:lang w:val="en" w:eastAsia="en-AU"/>
              </w:rPr>
            </w:pPr>
            <w:r w:rsidRPr="00D33C71">
              <w:rPr>
                <w:rFonts w:ascii="Arial" w:hAnsi="Arial" w:cs="Arial"/>
                <w:lang w:val="da"/>
              </w:rPr>
              <w:t xml:space="preserve">Để biết danh sách đầy đủ các điều kiện hãy xem  </w:t>
            </w:r>
            <w:hyperlink r:id="rId6" w:history="1">
              <w:r w:rsidRPr="00D33C71">
                <w:rPr>
                  <w:rFonts w:ascii="Arial" w:hAnsi="Arial" w:cs="Arial"/>
                  <w:color w:val="0563C1" w:themeColor="hyperlink"/>
                  <w:u w:val="single"/>
                  <w:lang w:val="da"/>
                </w:rPr>
                <w:t>Trade Promotions page</w:t>
              </w:r>
            </w:hyperlink>
          </w:p>
          <w:p w:rsidR="004D4FE4" w:rsidRPr="00D33C71" w:rsidRDefault="004D4FE4" w:rsidP="009A38E5">
            <w:pPr>
              <w:spacing w:after="160" w:line="259" w:lineRule="auto"/>
              <w:rPr>
                <w:rFonts w:ascii="Arial" w:eastAsia="Times New Roman" w:hAnsi="Arial" w:cs="Arial"/>
                <w:lang w:val="en" w:eastAsia="en-AU"/>
              </w:rPr>
            </w:pPr>
            <w:r w:rsidRPr="00D33C71">
              <w:rPr>
                <w:rFonts w:ascii="Arial" w:eastAsia="Times New Roman" w:hAnsi="Arial" w:cs="Arial"/>
                <w:lang w:val="da" w:eastAsia="en-AU"/>
              </w:rPr>
              <w:t xml:space="preserve">Đối với câu hỏi về quảng bá thương mại của quý vị và việc đáp ứng các yêu cầu pháp lý xin vui lòng liên hệ với VCGLR theo số 1300 182 457 hoặc email </w:t>
            </w:r>
            <w:hyperlink r:id="rId7" w:history="1">
              <w:r w:rsidRPr="00D33C71">
                <w:rPr>
                  <w:rFonts w:ascii="Arial" w:eastAsia="Times New Roman" w:hAnsi="Arial" w:cs="Arial"/>
                  <w:color w:val="0000FF"/>
                  <w:u w:val="single"/>
                  <w:lang w:val="da" w:eastAsia="en-AU"/>
                </w:rPr>
                <w:t>contact@vcglr.vic.gov.au</w:t>
              </w:r>
            </w:hyperlink>
          </w:p>
          <w:p w:rsidR="004D4FE4" w:rsidRPr="00D33C71" w:rsidRDefault="004D4FE4" w:rsidP="009A38E5">
            <w:pPr>
              <w:jc w:val="center"/>
              <w:rPr>
                <w:rFonts w:ascii="Arial" w:hAnsi="Arial" w:cs="Arial"/>
                <w:b/>
              </w:rPr>
            </w:pPr>
            <w:r w:rsidRPr="00D33C71">
              <w:rPr>
                <w:rFonts w:ascii="Arial" w:hAnsi="Arial" w:cs="Arial"/>
                <w:b/>
                <w:lang w:val="da"/>
              </w:rPr>
              <w:t>www.vcglr.vic.gov.au</w:t>
            </w:r>
          </w:p>
        </w:tc>
        <w:tc>
          <w:tcPr>
            <w:tcW w:w="4206" w:type="dxa"/>
          </w:tcPr>
          <w:p w:rsidR="004D4FE4" w:rsidRDefault="004D4FE4" w:rsidP="009A38E5">
            <w:pPr>
              <w:spacing w:line="375" w:lineRule="atLeast"/>
              <w:rPr>
                <w:rFonts w:ascii="Arial" w:hAnsi="Arial" w:cs="Arial"/>
                <w:noProof/>
                <w:lang w:eastAsia="en-AU"/>
              </w:rPr>
            </w:pPr>
          </w:p>
          <w:p w:rsidR="004D4FE4" w:rsidRPr="007A0B98" w:rsidRDefault="004D4FE4" w:rsidP="009A38E5">
            <w:pPr>
              <w:spacing w:line="375" w:lineRule="atLeast"/>
              <w:rPr>
                <w:rFonts w:ascii="Arial" w:hAnsi="Arial" w:cs="Arial"/>
                <w:noProof/>
                <w:lang w:eastAsia="en-AU"/>
              </w:rPr>
            </w:pPr>
            <w:r w:rsidRPr="002523C4">
              <w:rPr>
                <w:rFonts w:ascii="Arial" w:hAnsi="Arial" w:cs="Arial"/>
                <w:noProof/>
                <w:lang w:eastAsia="en-AU"/>
              </w:rPr>
              <w:drawing>
                <wp:inline distT="0" distB="0" distL="0" distR="0" wp14:anchorId="736AF2ED" wp14:editId="68F670FF">
                  <wp:extent cx="2314575" cy="2847583"/>
                  <wp:effectExtent l="0" t="0" r="0" b="0"/>
                  <wp:docPr id="3" name="Picture 3" descr="W:\Strategy &amp; Planning\Education Programs\Education\TRADER ASSOCIATIONS\472x630px Trade Promotions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trategy &amp; Planning\Education Programs\Education\TRADER ASSOCIATIONS\472x630px Trade Promotions Ic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3794" cy="2932742"/>
                          </a:xfrm>
                          <a:prstGeom prst="rect">
                            <a:avLst/>
                          </a:prstGeom>
                          <a:noFill/>
                          <a:ln>
                            <a:noFill/>
                          </a:ln>
                        </pic:spPr>
                      </pic:pic>
                    </a:graphicData>
                  </a:graphic>
                </wp:inline>
              </w:drawing>
            </w:r>
          </w:p>
        </w:tc>
      </w:tr>
    </w:tbl>
    <w:p w:rsidR="00F24F5E" w:rsidRDefault="00F24F5E">
      <w:bookmarkStart w:id="0" w:name="_GoBack"/>
      <w:bookmarkEnd w:id="0"/>
    </w:p>
    <w:sectPr w:rsidR="00F24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E4"/>
    <w:rsid w:val="004D4FE4"/>
    <w:rsid w:val="00854021"/>
    <w:rsid w:val="00F24F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061FB-0310-4182-9A2A-0E4563A8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4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contact@vcglr.vic.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glr.vic.gov.au/gambling/lotteries/trade-promotion-lotteries/licensee-resources/trade-promotion-lotteries-frequently" TargetMode="External"/><Relationship Id="rId5" Type="http://schemas.openxmlformats.org/officeDocument/2006/relationships/hyperlink" Target="https://www.vcglr.vic.gov.au/sites/default/files/formsDeclaration_as_a_community_or_charitable_organisation.pdf" TargetMode="External"/><Relationship Id="rId10" Type="http://schemas.openxmlformats.org/officeDocument/2006/relationships/theme" Target="theme/theme1.xml"/><Relationship Id="rId4" Type="http://schemas.openxmlformats.org/officeDocument/2006/relationships/hyperlink" Target="https://www.vcgr.vic.gov.au/CA256F800017E8D4/VCGLR/0D309EF0CB8426FDCA257B32007680D6?OpenDocumen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Lygopoulos</dc:creator>
  <cp:keywords/>
  <dc:description/>
  <cp:lastModifiedBy>Anna Lygopoulos</cp:lastModifiedBy>
  <cp:revision>1</cp:revision>
  <dcterms:created xsi:type="dcterms:W3CDTF">2018-10-04T04:04:00Z</dcterms:created>
  <dcterms:modified xsi:type="dcterms:W3CDTF">2018-10-04T04:05:00Z</dcterms:modified>
</cp:coreProperties>
</file>