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2C3A" w14:textId="2CB5F095" w:rsidR="000C322B" w:rsidRDefault="003031D8" w:rsidP="009A15CF">
      <w:pPr>
        <w:pStyle w:val="Frontcovertitle"/>
      </w:pPr>
      <w:r>
        <w:t>VGCCC Board Charter</w:t>
      </w:r>
    </w:p>
    <w:sdt>
      <w:sdtPr>
        <w:alias w:val="Protective markings"/>
        <w:tag w:val="ProtectiveMarkings"/>
        <w:id w:val="281849102"/>
        <w:placeholder>
          <w:docPart w:val="95C21485BD62485BBF22A7B07A825041"/>
        </w:placeholde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Content>
        <w:p w14:paraId="7CBEA21B" w14:textId="2B771999" w:rsidR="00914D79" w:rsidRDefault="006765CA" w:rsidP="009A15CF">
          <w:pPr>
            <w:pStyle w:val="Header"/>
          </w:pPr>
          <w:r>
            <w:t>OFFICIAL</w:t>
          </w:r>
        </w:p>
      </w:sdtContent>
    </w:sdt>
    <w:p w14:paraId="385DDB5F" w14:textId="566A5484" w:rsidR="00215427" w:rsidRDefault="00215427" w:rsidP="009A15CF">
      <w:r w:rsidRPr="00C728CE">
        <w:t xml:space="preserve">TRIM ID: </w:t>
      </w:r>
      <w:r w:rsidR="003031D8">
        <w:t>CD/2</w:t>
      </w:r>
      <w:r w:rsidR="00326D66">
        <w:t>3</w:t>
      </w:r>
      <w:r w:rsidR="003031D8">
        <w:t>/</w:t>
      </w:r>
      <w:r w:rsidR="00817A7A">
        <w:t>3368</w:t>
      </w:r>
    </w:p>
    <w:p w14:paraId="03B5A534" w14:textId="3393589B" w:rsidR="00215427" w:rsidRDefault="00215427" w:rsidP="009A15CF">
      <w:r>
        <w:t>Date:</w:t>
      </w:r>
      <w:r w:rsidR="003031D8">
        <w:t xml:space="preserve"> </w:t>
      </w:r>
      <w:r w:rsidR="00317F2A">
        <w:t>5 April</w:t>
      </w:r>
      <w:r w:rsidR="003031D8">
        <w:t xml:space="preserve"> 202</w:t>
      </w:r>
      <w:r w:rsidR="000C3A67">
        <w:t>3</w:t>
      </w:r>
    </w:p>
    <w:p w14:paraId="6A8F7FA0" w14:textId="7C5471BC" w:rsidR="00215427" w:rsidRPr="00F03B4A" w:rsidRDefault="00215427" w:rsidP="009A15CF">
      <w:r>
        <w:t>Version</w:t>
      </w:r>
      <w:r w:rsidR="003031D8">
        <w:t xml:space="preserve">: </w:t>
      </w:r>
      <w:r w:rsidR="009C6573">
        <w:t>1</w:t>
      </w:r>
      <w:r w:rsidR="003031D8">
        <w:t>.0</w:t>
      </w:r>
    </w:p>
    <w:p w14:paraId="1E1FFEC2" w14:textId="77777777" w:rsidR="00914D79" w:rsidRDefault="00914D79" w:rsidP="009A15CF">
      <w:pPr>
        <w:rPr>
          <w:rFonts w:eastAsiaTheme="majorEastAsia" w:cs="Times New Roman (Headings CS)"/>
          <w:szCs w:val="32"/>
        </w:rPr>
      </w:pPr>
      <w:r>
        <w:br w:type="page"/>
      </w:r>
    </w:p>
    <w:p w14:paraId="62245D32" w14:textId="77777777" w:rsidR="00CD69BF" w:rsidRPr="00CD69BF" w:rsidRDefault="00CD69BF" w:rsidP="009A15CF">
      <w:pPr>
        <w:pStyle w:val="Heading1"/>
        <w:rPr>
          <w:lang w:val="en-AU"/>
        </w:rPr>
      </w:pPr>
      <w:bookmarkStart w:id="0" w:name="_Toc127270906"/>
      <w:r w:rsidRPr="00CD69BF">
        <w:rPr>
          <w:lang w:val="en-AU"/>
        </w:rPr>
        <w:lastRenderedPageBreak/>
        <w:t>Introduction</w:t>
      </w:r>
      <w:bookmarkEnd w:id="0"/>
    </w:p>
    <w:p w14:paraId="4AE83A4E" w14:textId="6B94F3EE" w:rsidR="003031D8" w:rsidRPr="003031D8" w:rsidRDefault="003031D8" w:rsidP="009A15CF">
      <w:pPr>
        <w:rPr>
          <w:lang w:val="en-AU"/>
        </w:rPr>
      </w:pPr>
      <w:r w:rsidRPr="003031D8">
        <w:rPr>
          <w:lang w:val="en-AU"/>
        </w:rPr>
        <w:t xml:space="preserve">The Victorian Gambling and Casino Control Commission (VGCCC) is established under the </w:t>
      </w:r>
      <w:r w:rsidRPr="003031D8">
        <w:rPr>
          <w:i/>
          <w:iCs/>
          <w:lang w:val="en-AU"/>
        </w:rPr>
        <w:t>Victorian Gambling and Casino Control Commission Act 2011</w:t>
      </w:r>
      <w:r w:rsidRPr="003031D8">
        <w:rPr>
          <w:lang w:val="en-AU"/>
        </w:rPr>
        <w:t xml:space="preserve"> (the Act) as a statutory body. </w:t>
      </w:r>
    </w:p>
    <w:p w14:paraId="4A118D1D" w14:textId="77777777" w:rsidR="003031D8" w:rsidRPr="003031D8" w:rsidRDefault="003031D8" w:rsidP="009A15CF">
      <w:pPr>
        <w:rPr>
          <w:lang w:val="en-AU"/>
        </w:rPr>
      </w:pPr>
      <w:r w:rsidRPr="003031D8">
        <w:rPr>
          <w:lang w:val="en-AU"/>
        </w:rPr>
        <w:t>The Commission is a body corporate with perpetual succession.</w:t>
      </w:r>
    </w:p>
    <w:p w14:paraId="536BF29F" w14:textId="12A0DFBE" w:rsidR="002D7AB7" w:rsidRPr="00692A7F" w:rsidRDefault="003031D8" w:rsidP="009A15CF">
      <w:pPr>
        <w:rPr>
          <w:lang w:val="en-AU"/>
        </w:rPr>
      </w:pPr>
      <w:r w:rsidRPr="003031D8">
        <w:rPr>
          <w:lang w:val="en-AU"/>
        </w:rPr>
        <w:t>This Charter sets out the authority, role</w:t>
      </w:r>
      <w:r w:rsidR="008E655A">
        <w:rPr>
          <w:lang w:val="en-AU"/>
        </w:rPr>
        <w:t xml:space="preserve"> and</w:t>
      </w:r>
      <w:r w:rsidRPr="003031D8">
        <w:rPr>
          <w:lang w:val="en-AU"/>
        </w:rPr>
        <w:t xml:space="preserve"> responsibilities of the Board of the Commission (Board or Commission Board).</w:t>
      </w:r>
    </w:p>
    <w:p w14:paraId="6F47ADA1" w14:textId="7BC8812A" w:rsidR="00E37BB2" w:rsidRDefault="003E3F7F" w:rsidP="009A15CF">
      <w:pPr>
        <w:pStyle w:val="Heading1"/>
      </w:pPr>
      <w:bookmarkStart w:id="1" w:name="_Toc127270907"/>
      <w:r w:rsidRPr="00692A7F">
        <w:t xml:space="preserve">Purpose and </w:t>
      </w:r>
      <w:r w:rsidR="00692A7F" w:rsidRPr="00692A7F">
        <w:t>o</w:t>
      </w:r>
      <w:r w:rsidRPr="00692A7F">
        <w:t>bjectives</w:t>
      </w:r>
      <w:r>
        <w:t xml:space="preserve"> of the VGCCC</w:t>
      </w:r>
      <w:bookmarkEnd w:id="1"/>
    </w:p>
    <w:p w14:paraId="0A25DA06" w14:textId="54D660D3" w:rsidR="003E3F7F" w:rsidRPr="00692A7F" w:rsidRDefault="003E3F7F" w:rsidP="009A15CF">
      <w:pPr>
        <w:pStyle w:val="Heading2"/>
      </w:pPr>
      <w:bookmarkStart w:id="2" w:name="_Toc127270908"/>
      <w:r w:rsidRPr="00692A7F">
        <w:t>Purpose of the VGCCC</w:t>
      </w:r>
      <w:bookmarkEnd w:id="2"/>
    </w:p>
    <w:p w14:paraId="5E14B1FF" w14:textId="626BB975" w:rsidR="003E3F7F" w:rsidRDefault="003E3F7F" w:rsidP="009A15CF">
      <w:r w:rsidRPr="003E3F7F">
        <w:t xml:space="preserve">To ensure integrity, </w:t>
      </w:r>
      <w:proofErr w:type="gramStart"/>
      <w:r w:rsidRPr="003E3F7F">
        <w:t>safety</w:t>
      </w:r>
      <w:proofErr w:type="gramEnd"/>
      <w:r w:rsidRPr="003E3F7F">
        <w:t xml:space="preserve"> and fairness </w:t>
      </w:r>
      <w:r w:rsidR="00C66A73">
        <w:t xml:space="preserve">of the gambling industry </w:t>
      </w:r>
      <w:r w:rsidRPr="003E3F7F">
        <w:t>for all.</w:t>
      </w:r>
    </w:p>
    <w:p w14:paraId="0A6539B3" w14:textId="320B37AD" w:rsidR="003E3F7F" w:rsidRDefault="003E3F7F" w:rsidP="009A15CF">
      <w:pPr>
        <w:pStyle w:val="Heading2"/>
      </w:pPr>
      <w:bookmarkStart w:id="3" w:name="_Toc127270909"/>
      <w:r>
        <w:t>Objectives of the VGCCC</w:t>
      </w:r>
      <w:bookmarkEnd w:id="3"/>
    </w:p>
    <w:p w14:paraId="187D308D" w14:textId="110BBD2E" w:rsidR="003E3F7F" w:rsidRDefault="003E3F7F" w:rsidP="009A15CF">
      <w:r>
        <w:t>The objectives of the VGCCC are to:</w:t>
      </w:r>
    </w:p>
    <w:p w14:paraId="15BC5F13" w14:textId="1DC3AEDC" w:rsidR="003E3F7F" w:rsidRDefault="00692A7F" w:rsidP="009A15CF">
      <w:pPr>
        <w:pStyle w:val="Bullet1"/>
      </w:pPr>
      <w:r>
        <w:t>m</w:t>
      </w:r>
      <w:r w:rsidR="003E3F7F">
        <w:t xml:space="preserve">aintain and administer systems for the licensing, supervision and control of gambling businesses and </w:t>
      </w:r>
      <w:r>
        <w:t xml:space="preserve">the </w:t>
      </w:r>
      <w:r w:rsidR="003E3F7F">
        <w:t>casino, for the purpose of:</w:t>
      </w:r>
    </w:p>
    <w:p w14:paraId="76982B2C" w14:textId="78B996B2" w:rsidR="003E3F7F" w:rsidRPr="00692A7F" w:rsidRDefault="00692A7F" w:rsidP="009A15CF">
      <w:pPr>
        <w:pStyle w:val="Bullet2"/>
      </w:pPr>
      <w:r>
        <w:t>e</w:t>
      </w:r>
      <w:r w:rsidR="003E3F7F" w:rsidRPr="00692A7F">
        <w:t xml:space="preserve">nsuring that the management and operation of gambling businesses and </w:t>
      </w:r>
      <w:r>
        <w:t xml:space="preserve">the </w:t>
      </w:r>
      <w:r w:rsidR="003E3F7F" w:rsidRPr="00692A7F">
        <w:t>casino remain free from criminal influence and exploitation through oversight of those gambling businesses and casino and liaison with other regulatory agencies</w:t>
      </w:r>
    </w:p>
    <w:p w14:paraId="46BD3DEE" w14:textId="539D30DF" w:rsidR="003E3F7F" w:rsidRPr="00692A7F" w:rsidRDefault="00692A7F" w:rsidP="009A15CF">
      <w:pPr>
        <w:pStyle w:val="Bullet2"/>
      </w:pPr>
      <w:r>
        <w:t>e</w:t>
      </w:r>
      <w:r w:rsidR="003E3F7F" w:rsidRPr="00692A7F">
        <w:t xml:space="preserve">nsuring that gambling </w:t>
      </w:r>
      <w:r>
        <w:t xml:space="preserve">is </w:t>
      </w:r>
      <w:r w:rsidR="003E3F7F" w:rsidRPr="00692A7F">
        <w:t>conducted or operated by a gambling business and gaming and betting in a casino</w:t>
      </w:r>
      <w:r w:rsidR="003E7914">
        <w:t>,</w:t>
      </w:r>
      <w:r w:rsidR="003E3F7F" w:rsidRPr="00692A7F">
        <w:t xml:space="preserve"> are conducted or operated honestly</w:t>
      </w:r>
    </w:p>
    <w:p w14:paraId="64FDB28B" w14:textId="396A5CF1" w:rsidR="003E3F7F" w:rsidRPr="00692A7F" w:rsidRDefault="00692A7F" w:rsidP="009A15CF">
      <w:pPr>
        <w:pStyle w:val="Bullet2"/>
      </w:pPr>
      <w:r>
        <w:t>f</w:t>
      </w:r>
      <w:r w:rsidR="003E3F7F" w:rsidRPr="00692A7F">
        <w:t xml:space="preserve">ostering responsible gambling conducted or operated by a gambling business or in </w:t>
      </w:r>
      <w:r>
        <w:t>the</w:t>
      </w:r>
      <w:r w:rsidR="003E3F7F" w:rsidRPr="00692A7F">
        <w:t xml:space="preserve"> casino</w:t>
      </w:r>
      <w:r w:rsidR="00C92681" w:rsidRPr="00692A7F">
        <w:t>.</w:t>
      </w:r>
    </w:p>
    <w:p w14:paraId="660D0905" w14:textId="03C26E39" w:rsidR="008E655A" w:rsidRPr="004E5226" w:rsidRDefault="00692A7F" w:rsidP="009A15CF">
      <w:pPr>
        <w:pStyle w:val="Bullet1"/>
      </w:pPr>
      <w:r>
        <w:t>m</w:t>
      </w:r>
      <w:r w:rsidR="003E3F7F">
        <w:t>inimis</w:t>
      </w:r>
      <w:r>
        <w:t>e</w:t>
      </w:r>
      <w:r w:rsidR="003E3F7F">
        <w:t xml:space="preserve"> gambling harm and problem gambling.</w:t>
      </w:r>
    </w:p>
    <w:p w14:paraId="314ACEA5" w14:textId="1BFDDF1E" w:rsidR="003E3F7F" w:rsidRDefault="003E3F7F" w:rsidP="009A15CF">
      <w:pPr>
        <w:pStyle w:val="Heading1"/>
      </w:pPr>
      <w:bookmarkStart w:id="4" w:name="_Toc127270910"/>
      <w:r>
        <w:t xml:space="preserve">Purpose and </w:t>
      </w:r>
      <w:r w:rsidR="00692A7F">
        <w:t>a</w:t>
      </w:r>
      <w:r>
        <w:t>uthority</w:t>
      </w:r>
      <w:bookmarkEnd w:id="4"/>
    </w:p>
    <w:p w14:paraId="08DB2A5C" w14:textId="7F795F6F" w:rsidR="003E3F7F" w:rsidRPr="00B23865" w:rsidRDefault="003E3F7F" w:rsidP="009A15CF">
      <w:pPr>
        <w:pStyle w:val="Heading2"/>
      </w:pPr>
      <w:bookmarkStart w:id="5" w:name="_Toc127270911"/>
      <w:r>
        <w:t xml:space="preserve">Board </w:t>
      </w:r>
      <w:r w:rsidR="00692A7F">
        <w:t>p</w:t>
      </w:r>
      <w:r w:rsidRPr="00B23865">
        <w:t>urpose</w:t>
      </w:r>
      <w:bookmarkEnd w:id="5"/>
    </w:p>
    <w:p w14:paraId="5AF4BF6C" w14:textId="6A227F69" w:rsidR="003E3F7F" w:rsidRDefault="003E3F7F" w:rsidP="009A15CF">
      <w:r>
        <w:t>The Board’s purpose is to set the strategic direction, oversee and ensure the Commission’s statutory functions, objectives, powers and governance are carried out effectively.</w:t>
      </w:r>
    </w:p>
    <w:p w14:paraId="7A606E51" w14:textId="42C7737C" w:rsidR="003E3F7F" w:rsidRPr="00B23865" w:rsidRDefault="003E3F7F" w:rsidP="009A15CF">
      <w:pPr>
        <w:pStyle w:val="Heading2"/>
      </w:pPr>
      <w:bookmarkStart w:id="6" w:name="_Toc127270912"/>
      <w:r w:rsidRPr="00B23865">
        <w:t xml:space="preserve">Board </w:t>
      </w:r>
      <w:r w:rsidR="0000096E">
        <w:t>a</w:t>
      </w:r>
      <w:r w:rsidRPr="00B23865">
        <w:t>uthority</w:t>
      </w:r>
      <w:bookmarkEnd w:id="6"/>
    </w:p>
    <w:p w14:paraId="4301F90E" w14:textId="07A56B55" w:rsidR="00D32C17" w:rsidRDefault="003E3F7F" w:rsidP="009A15CF">
      <w:r w:rsidRPr="009A15CF">
        <w:t xml:space="preserve">The Board’s authority is derived from the Act, </w:t>
      </w:r>
      <w:r w:rsidR="00692A7F" w:rsidRPr="009A15CF">
        <w:t>g</w:t>
      </w:r>
      <w:r w:rsidRPr="009A15CF">
        <w:t xml:space="preserve">overnment policy, Ministerial directions and decision-making guidelines, gambling legislation (as defined by the Act), the Racing Act </w:t>
      </w:r>
      <w:r w:rsidR="007C5DCB" w:rsidRPr="009A15CF">
        <w:t>1958</w:t>
      </w:r>
      <w:r w:rsidR="00497EF6" w:rsidRPr="009A15CF">
        <w:t xml:space="preserve"> </w:t>
      </w:r>
      <w:r w:rsidRPr="009A15CF">
        <w:t>and any other legislation. Other than the powers which cannot be delegated</w:t>
      </w:r>
      <w:r w:rsidR="00692A7F" w:rsidRPr="009A15CF">
        <w:t>,</w:t>
      </w:r>
      <w:r w:rsidRPr="009A15CF">
        <w:t xml:space="preserve"> the Board may delegate its powers as it considers appropriate.</w:t>
      </w:r>
      <w:r w:rsidR="00D32C17">
        <w:br w:type="page"/>
      </w:r>
    </w:p>
    <w:p w14:paraId="21EFE47C" w14:textId="48FC5BAE" w:rsidR="003E3F7F" w:rsidRDefault="003E3F7F" w:rsidP="009A15CF">
      <w:pPr>
        <w:pStyle w:val="Heading1"/>
      </w:pPr>
      <w:bookmarkStart w:id="7" w:name="_Toc127270913"/>
      <w:r>
        <w:lastRenderedPageBreak/>
        <w:t xml:space="preserve">Role and </w:t>
      </w:r>
      <w:r w:rsidR="00692A7F">
        <w:t>r</w:t>
      </w:r>
      <w:r>
        <w:t>esponsibilities</w:t>
      </w:r>
      <w:bookmarkEnd w:id="7"/>
    </w:p>
    <w:p w14:paraId="3419EB63" w14:textId="77777777" w:rsidR="003E3F7F" w:rsidRPr="00B23865" w:rsidRDefault="003E3F7F" w:rsidP="009A15CF">
      <w:pPr>
        <w:pStyle w:val="Heading2"/>
      </w:pPr>
      <w:bookmarkStart w:id="8" w:name="_Toc127270914"/>
      <w:r w:rsidRPr="00B23865">
        <w:t>Role of the Board</w:t>
      </w:r>
      <w:bookmarkEnd w:id="8"/>
    </w:p>
    <w:p w14:paraId="71286986" w14:textId="63BC1CBE" w:rsidR="00623F4D" w:rsidRDefault="003E3F7F" w:rsidP="009A15CF">
      <w:r>
        <w:t>The Board governs and oversees the VGCCC’s functions and duties under the Act</w:t>
      </w:r>
      <w:r w:rsidR="00692A7F">
        <w:t xml:space="preserve">, </w:t>
      </w:r>
      <w:r w:rsidR="00BD0388">
        <w:t>gambling legislation (as defined by the Act) and the Racing Act</w:t>
      </w:r>
      <w:r>
        <w:t>.</w:t>
      </w:r>
    </w:p>
    <w:p w14:paraId="6BD7CF2A" w14:textId="77777777" w:rsidR="002773F3" w:rsidRPr="00B23865" w:rsidRDefault="002773F3" w:rsidP="009A15CF">
      <w:pPr>
        <w:pStyle w:val="Heading2"/>
      </w:pPr>
      <w:bookmarkStart w:id="9" w:name="_Toc127270915"/>
      <w:r w:rsidRPr="00B23865">
        <w:t>Responsibilities of the Board</w:t>
      </w:r>
      <w:bookmarkEnd w:id="9"/>
    </w:p>
    <w:p w14:paraId="40114068" w14:textId="5AC0A63B" w:rsidR="002773F3" w:rsidRPr="00E81088" w:rsidRDefault="002773F3" w:rsidP="009A15CF">
      <w:pPr>
        <w:pStyle w:val="Heading3"/>
      </w:pPr>
      <w:r w:rsidRPr="00E81088">
        <w:t xml:space="preserve">Strategy and </w:t>
      </w:r>
      <w:r w:rsidR="00097336">
        <w:t>o</w:t>
      </w:r>
      <w:r w:rsidRPr="00E81088">
        <w:t>versight</w:t>
      </w:r>
    </w:p>
    <w:p w14:paraId="76D25786" w14:textId="232DE1D9" w:rsidR="002773F3" w:rsidRPr="00996764" w:rsidRDefault="002773F3" w:rsidP="009A15CF">
      <w:pPr>
        <w:pStyle w:val="Bullet1"/>
      </w:pPr>
      <w:r>
        <w:t>Operate within the statutory powers and policies of the VGCCC.</w:t>
      </w:r>
    </w:p>
    <w:p w14:paraId="7E74B905" w14:textId="77777777" w:rsidR="002773F3" w:rsidRDefault="002773F3" w:rsidP="009A15CF">
      <w:pPr>
        <w:pStyle w:val="Bullet1"/>
      </w:pPr>
      <w:r>
        <w:t>Ensure that matters reserved for the Board are clearly identified and that necessary and appropriate delegations are documented, communicated and regularly reviewed.</w:t>
      </w:r>
    </w:p>
    <w:p w14:paraId="5EEAF312" w14:textId="04B29D43" w:rsidR="002773F3" w:rsidRDefault="002773F3" w:rsidP="009A15CF">
      <w:pPr>
        <w:pStyle w:val="Bullet1"/>
      </w:pPr>
      <w:r>
        <w:t xml:space="preserve">Oversee the VGCCC on behalf of the Minister </w:t>
      </w:r>
      <w:r w:rsidR="00C66A73">
        <w:t>responsible for administering the Act</w:t>
      </w:r>
      <w:r>
        <w:t>.</w:t>
      </w:r>
    </w:p>
    <w:p w14:paraId="767BD5EC" w14:textId="2BB5F981" w:rsidR="002773F3" w:rsidRDefault="002773F3" w:rsidP="009A15CF">
      <w:pPr>
        <w:pStyle w:val="Bullet1"/>
      </w:pPr>
      <w:r>
        <w:t xml:space="preserve">Ensure the VGCCC operates within its establishing legislation, any delegations and rules. </w:t>
      </w:r>
    </w:p>
    <w:p w14:paraId="07CABD84" w14:textId="10E7C85C" w:rsidR="002773F3" w:rsidRDefault="002773F3" w:rsidP="009A15CF">
      <w:pPr>
        <w:pStyle w:val="Bullet1"/>
      </w:pPr>
      <w:r>
        <w:t>Ensure the VGCCC complies with legislation and government policies.</w:t>
      </w:r>
    </w:p>
    <w:p w14:paraId="07D53152" w14:textId="77777777" w:rsidR="002773F3" w:rsidRDefault="002773F3" w:rsidP="009A15CF">
      <w:pPr>
        <w:pStyle w:val="Bullet1"/>
      </w:pPr>
      <w:r>
        <w:t>Ensure that government objectives and priorities and the statutory purposes and functions of the VGCCC are achieved in a financially efficient, effective and economical way by:</w:t>
      </w:r>
    </w:p>
    <w:p w14:paraId="18D1CB64" w14:textId="32220A31" w:rsidR="002773F3" w:rsidRDefault="00097336" w:rsidP="009A15CF">
      <w:pPr>
        <w:pStyle w:val="Bullet2"/>
      </w:pPr>
      <w:r>
        <w:t>s</w:t>
      </w:r>
      <w:r w:rsidR="002773F3">
        <w:t>etting the VGCCC’s strategic direction</w:t>
      </w:r>
    </w:p>
    <w:p w14:paraId="4374826F" w14:textId="4EF30940" w:rsidR="002773F3" w:rsidRDefault="00097336" w:rsidP="009A15CF">
      <w:pPr>
        <w:pStyle w:val="Bullet2"/>
      </w:pPr>
      <w:r>
        <w:t>o</w:t>
      </w:r>
      <w:r w:rsidR="002773F3">
        <w:t>verseeing risk management strategy and ensuring risk management is integrated into the VGCCC’s strategic planning process</w:t>
      </w:r>
    </w:p>
    <w:p w14:paraId="67BCC49F" w14:textId="0172B202" w:rsidR="002773F3" w:rsidRDefault="00097336" w:rsidP="009A15CF">
      <w:pPr>
        <w:pStyle w:val="Bullet2"/>
      </w:pPr>
      <w:r>
        <w:t>a</w:t>
      </w:r>
      <w:r w:rsidR="002773F3">
        <w:t>pproving the annual business plan, key performance indicators, annual budget and policies</w:t>
      </w:r>
    </w:p>
    <w:p w14:paraId="4FD001F8" w14:textId="68250C8D" w:rsidR="002773F3" w:rsidRDefault="00097336" w:rsidP="009A15CF">
      <w:pPr>
        <w:pStyle w:val="Bullet2"/>
      </w:pPr>
      <w:r>
        <w:t>a</w:t>
      </w:r>
      <w:r w:rsidR="002773F3">
        <w:t>pproving major decisions related to strategic initiatives and policies</w:t>
      </w:r>
    </w:p>
    <w:p w14:paraId="79E86ABF" w14:textId="5FE972B8" w:rsidR="002773F3" w:rsidRDefault="00097336" w:rsidP="009A15CF">
      <w:pPr>
        <w:pStyle w:val="Bullet2"/>
      </w:pPr>
      <w:r>
        <w:t>o</w:t>
      </w:r>
      <w:r w:rsidR="002773F3">
        <w:t>verseeing the VGCCC’s delivery of services and achievement of objectives and performance</w:t>
      </w:r>
    </w:p>
    <w:p w14:paraId="6454118D" w14:textId="2E66E858" w:rsidR="002773F3" w:rsidRDefault="00097336" w:rsidP="009A15CF">
      <w:pPr>
        <w:pStyle w:val="Bullet2"/>
      </w:pPr>
      <w:r>
        <w:t>a</w:t>
      </w:r>
      <w:r w:rsidR="002773F3">
        <w:t xml:space="preserve">pproving key accountability reports including the Annual Report and performance reports. </w:t>
      </w:r>
    </w:p>
    <w:p w14:paraId="08324B48" w14:textId="3CEC3483" w:rsidR="002773F3" w:rsidRDefault="002773F3" w:rsidP="009A15CF">
      <w:pPr>
        <w:pStyle w:val="Bullet1"/>
      </w:pPr>
      <w:r>
        <w:t>Ensure appropriate and effective governance and compliance frameworks are in place, and regularly review the effectiveness of those arrangements.</w:t>
      </w:r>
    </w:p>
    <w:p w14:paraId="0C7EC2B4" w14:textId="77777777" w:rsidR="002773F3" w:rsidRDefault="002773F3" w:rsidP="009A15CF">
      <w:pPr>
        <w:pStyle w:val="Bullet1"/>
      </w:pPr>
      <w:r>
        <w:t>Oversee the financial performance of the VGCCC, including:</w:t>
      </w:r>
    </w:p>
    <w:p w14:paraId="76003A0C" w14:textId="388A698B" w:rsidR="002773F3" w:rsidRDefault="00097336" w:rsidP="009A15CF">
      <w:pPr>
        <w:pStyle w:val="Bullet2"/>
      </w:pPr>
      <w:r>
        <w:t>e</w:t>
      </w:r>
      <w:r w:rsidR="002773F3">
        <w:t>nsur</w:t>
      </w:r>
      <w:r>
        <w:t>ing</w:t>
      </w:r>
      <w:r w:rsidR="002773F3">
        <w:t xml:space="preserve"> the VGCCC implements Victorian Government policy frameworks relating to the requirements of the </w:t>
      </w:r>
      <w:r w:rsidR="002773F3" w:rsidRPr="00097336">
        <w:rPr>
          <w:i/>
          <w:iCs/>
        </w:rPr>
        <w:t>Financial Management Act 1994</w:t>
      </w:r>
      <w:r w:rsidR="002773F3">
        <w:t xml:space="preserve"> (FMA Act) and the associated Directions, Instruments and Financial Reporting Directions issued under section 8 of the FMA Act</w:t>
      </w:r>
    </w:p>
    <w:p w14:paraId="01BFC338" w14:textId="24F7CF94" w:rsidR="002773F3" w:rsidRDefault="00097336" w:rsidP="009A15CF">
      <w:pPr>
        <w:pStyle w:val="Bullet2"/>
      </w:pPr>
      <w:r>
        <w:t>c</w:t>
      </w:r>
      <w:r w:rsidR="002773F3">
        <w:t>onduct</w:t>
      </w:r>
      <w:r>
        <w:t>ing</w:t>
      </w:r>
      <w:r w:rsidR="002773F3">
        <w:t xml:space="preserve"> an annual review of the Commission’s financial and broader governance performance</w:t>
      </w:r>
      <w:r w:rsidR="00623F4D">
        <w:t>.</w:t>
      </w:r>
      <w:r w:rsidR="002773F3">
        <w:t xml:space="preserve"> </w:t>
      </w:r>
    </w:p>
    <w:p w14:paraId="34B0DB57" w14:textId="77777777" w:rsidR="002773F3" w:rsidRDefault="002773F3" w:rsidP="009A15CF">
      <w:pPr>
        <w:pStyle w:val="Bullet1"/>
      </w:pPr>
      <w:r>
        <w:t>Oversee the workplace, health and safety of the VGCCC.</w:t>
      </w:r>
    </w:p>
    <w:p w14:paraId="734D0737" w14:textId="77777777" w:rsidR="00A81039" w:rsidRDefault="00A81039" w:rsidP="009A15CF">
      <w:pPr>
        <w:rPr>
          <w:rFonts w:eastAsiaTheme="majorEastAsia" w:cstheme="majorBidi"/>
          <w:color w:val="0090B9"/>
          <w:sz w:val="22"/>
        </w:rPr>
      </w:pPr>
      <w:r>
        <w:br w:type="page"/>
      </w:r>
    </w:p>
    <w:p w14:paraId="7FDB6196" w14:textId="021ED138" w:rsidR="002773F3" w:rsidRPr="00E81088" w:rsidRDefault="002773F3" w:rsidP="009A15CF">
      <w:pPr>
        <w:pStyle w:val="Heading3"/>
      </w:pPr>
      <w:r w:rsidRPr="00E81088">
        <w:lastRenderedPageBreak/>
        <w:t>Leadership</w:t>
      </w:r>
    </w:p>
    <w:p w14:paraId="1E3BA531" w14:textId="21959701" w:rsidR="002773F3" w:rsidRDefault="002773F3" w:rsidP="009A15CF">
      <w:pPr>
        <w:pStyle w:val="Bullet1"/>
      </w:pPr>
      <w:r>
        <w:t>Appoint the Chief Executive Officer (CEO)</w:t>
      </w:r>
      <w:r w:rsidR="00B70537">
        <w:t xml:space="preserve"> </w:t>
      </w:r>
      <w:r>
        <w:t>in consultation with the Minister and oversee the performance and remuneration of the CEO.</w:t>
      </w:r>
    </w:p>
    <w:p w14:paraId="713CF947" w14:textId="77777777" w:rsidR="002773F3" w:rsidRDefault="002773F3" w:rsidP="009A15CF">
      <w:pPr>
        <w:pStyle w:val="Bullet1"/>
      </w:pPr>
      <w:r>
        <w:t xml:space="preserve">Play an active role in building a culture of integrity by modelling the behaviours based on the public sector values and standards consistent with the </w:t>
      </w:r>
      <w:r w:rsidRPr="006935AF">
        <w:rPr>
          <w:i/>
          <w:iCs/>
        </w:rPr>
        <w:t>Public Administration Act 2004</w:t>
      </w:r>
      <w:r>
        <w:t xml:space="preserve"> (the PA Act).</w:t>
      </w:r>
    </w:p>
    <w:p w14:paraId="4B3406A3" w14:textId="77B4DFD1" w:rsidR="002773F3" w:rsidRDefault="002773F3" w:rsidP="009A15CF">
      <w:pPr>
        <w:pStyle w:val="Bullet1"/>
      </w:pPr>
      <w:r>
        <w:t>Build and maintain the Commission’s reputation and relationship with stakeholders</w:t>
      </w:r>
      <w:r w:rsidR="00C92681">
        <w:t>.</w:t>
      </w:r>
    </w:p>
    <w:p w14:paraId="25EF8025" w14:textId="77777777" w:rsidR="002773F3" w:rsidRDefault="002773F3" w:rsidP="009A15CF">
      <w:pPr>
        <w:pStyle w:val="Bullet1"/>
      </w:pPr>
      <w:r>
        <w:t>Work with VGCCC’s management to develop communication protocols related to the Minister, and other significant stakeholders.</w:t>
      </w:r>
    </w:p>
    <w:p w14:paraId="4A7E7658" w14:textId="0F8F4012" w:rsidR="00623F4D" w:rsidRDefault="002773F3" w:rsidP="009A15CF">
      <w:pPr>
        <w:pStyle w:val="Bullet1"/>
      </w:pPr>
      <w:r>
        <w:t xml:space="preserve">Inform the Minister of known major risks to the effective operation of the VGCCC, and any activities and strategic issues with potential financial implications for the </w:t>
      </w:r>
      <w:r w:rsidR="00097336">
        <w:t>s</w:t>
      </w:r>
      <w:r>
        <w:t>tate.</w:t>
      </w:r>
    </w:p>
    <w:p w14:paraId="588ACD23" w14:textId="77777777" w:rsidR="002773F3" w:rsidRPr="00E81088" w:rsidRDefault="002773F3" w:rsidP="009A15CF">
      <w:pPr>
        <w:pStyle w:val="Heading3"/>
      </w:pPr>
      <w:r w:rsidRPr="00E81088">
        <w:t>Governance</w:t>
      </w:r>
    </w:p>
    <w:p w14:paraId="5FECACFA" w14:textId="708EDAB1" w:rsidR="002773F3" w:rsidRPr="00940D3E" w:rsidRDefault="002773F3" w:rsidP="009A15CF">
      <w:pPr>
        <w:pStyle w:val="Bullet1"/>
      </w:pPr>
      <w:r w:rsidRPr="00940D3E">
        <w:t>Review the VGCCC’s governance policies</w:t>
      </w:r>
      <w:r>
        <w:t xml:space="preserve"> </w:t>
      </w:r>
      <w:r w:rsidRPr="00940D3E">
        <w:t>and monitor the effectiveness of governance systems and practices</w:t>
      </w:r>
      <w:r w:rsidR="00623F4D">
        <w:t>.</w:t>
      </w:r>
    </w:p>
    <w:p w14:paraId="15B4D6ED" w14:textId="166BD826" w:rsidR="002773F3" w:rsidRDefault="002773F3" w:rsidP="009A15CF">
      <w:pPr>
        <w:pStyle w:val="Bullet1"/>
      </w:pPr>
      <w:r w:rsidRPr="00940D3E">
        <w:t>Review the selection, appointment, reappointment and replacement of the auditor in conjunction with the Audit and Risk Management Committee and oversee audit activities</w:t>
      </w:r>
      <w:r w:rsidR="00623F4D">
        <w:t>.</w:t>
      </w:r>
    </w:p>
    <w:p w14:paraId="279F9529" w14:textId="385AFF13" w:rsidR="009A3DDE" w:rsidRPr="00E81088" w:rsidRDefault="009A3DDE" w:rsidP="009A15CF">
      <w:pPr>
        <w:pStyle w:val="Heading3"/>
      </w:pPr>
      <w:r>
        <w:t>Tribunal</w:t>
      </w:r>
    </w:p>
    <w:p w14:paraId="7918EB95" w14:textId="44461DCB" w:rsidR="009A3DDE" w:rsidRPr="00955EDB" w:rsidRDefault="009A3DDE" w:rsidP="009A15CF">
      <w:r>
        <w:t xml:space="preserve">Make decisions on gambling matters </w:t>
      </w:r>
      <w:r w:rsidRPr="009A3DDE">
        <w:t>from approving new gaming venues or more gaming machines, to disciplinary actions and reviews</w:t>
      </w:r>
      <w:r>
        <w:t>.</w:t>
      </w:r>
    </w:p>
    <w:p w14:paraId="5E22F4F1" w14:textId="2B2A4321" w:rsidR="002773F3" w:rsidRDefault="002773F3" w:rsidP="009A15CF">
      <w:pPr>
        <w:pStyle w:val="Heading1"/>
      </w:pPr>
      <w:bookmarkStart w:id="10" w:name="_Toc127270916"/>
      <w:r>
        <w:t>Appointment to the Commission</w:t>
      </w:r>
      <w:bookmarkEnd w:id="10"/>
    </w:p>
    <w:p w14:paraId="59192AE7" w14:textId="77777777" w:rsidR="002773F3" w:rsidRDefault="002773F3" w:rsidP="009A15CF">
      <w:r>
        <w:t>The Chair, Deputy Chair(s) and Commissioners are appointed by the Governor in Council on the recommendation of the Minister.</w:t>
      </w:r>
    </w:p>
    <w:p w14:paraId="358FB38A" w14:textId="77777777" w:rsidR="002773F3" w:rsidRDefault="002773F3" w:rsidP="009A15CF">
      <w:r>
        <w:t>The Commission Board consists of a Chair, one or more Commissioners appointed as Deputy Chair and as many additional Commissioners as the Minister considers necessary.</w:t>
      </w:r>
    </w:p>
    <w:p w14:paraId="64E783E1" w14:textId="3536FE22" w:rsidR="002773F3" w:rsidRDefault="002773F3" w:rsidP="009A15CF">
      <w:r>
        <w:t xml:space="preserve">The Commission Board is to comprise as far as practicable commissioners who </w:t>
      </w:r>
      <w:r w:rsidR="00B63D42">
        <w:t xml:space="preserve">together </w:t>
      </w:r>
      <w:r>
        <w:t>have the following experience: regulatory</w:t>
      </w:r>
      <w:r w:rsidR="00B63D42">
        <w:t xml:space="preserve"> experience</w:t>
      </w:r>
      <w:r>
        <w:t>, financial or commercial qualifications</w:t>
      </w:r>
      <w:r w:rsidR="00B63D42">
        <w:t xml:space="preserve"> or experience</w:t>
      </w:r>
      <w:r>
        <w:t>, at least 5 years</w:t>
      </w:r>
      <w:r w:rsidR="00097336">
        <w:t>’</w:t>
      </w:r>
      <w:r>
        <w:t xml:space="preserve"> practice as an Australian legal practitioner and any other qualifications, experience or expertise that the Minister considers relevant.</w:t>
      </w:r>
    </w:p>
    <w:p w14:paraId="06BE6D03" w14:textId="57E927FC" w:rsidR="00BB13FF" w:rsidRPr="0028593A" w:rsidRDefault="00BB13FF" w:rsidP="009A15CF">
      <w:pPr>
        <w:pStyle w:val="Heading2"/>
        <w:rPr>
          <w:i/>
          <w:iCs/>
        </w:rPr>
      </w:pPr>
      <w:bookmarkStart w:id="11" w:name="_Toc127270917"/>
      <w:r w:rsidRPr="00230787">
        <w:t xml:space="preserve">Commissioner </w:t>
      </w:r>
      <w:r w:rsidR="00097336">
        <w:t>i</w:t>
      </w:r>
      <w:r w:rsidRPr="00230787">
        <w:t xml:space="preserve">nduction and </w:t>
      </w:r>
      <w:r w:rsidR="00097336">
        <w:t>d</w:t>
      </w:r>
      <w:r w:rsidRPr="00230787">
        <w:t>evelopment</w:t>
      </w:r>
      <w:bookmarkEnd w:id="11"/>
    </w:p>
    <w:p w14:paraId="5268C735" w14:textId="77777777" w:rsidR="00BB13FF" w:rsidRDefault="00BB13FF" w:rsidP="009A15CF">
      <w:pPr>
        <w:rPr>
          <w:i/>
          <w:iCs/>
        </w:rPr>
      </w:pPr>
      <w:r>
        <w:t>Commissioners are expected to participate in an induction and orientation program upon appointment, including management briefings and site visits.</w:t>
      </w:r>
    </w:p>
    <w:p w14:paraId="4FAD6DCF" w14:textId="61BDE024" w:rsidR="008E655A" w:rsidRDefault="00BB13FF" w:rsidP="009A15CF">
      <w:r>
        <w:t>Commissioners are responsible for undertaking continuing professional development and education to ensure their skills remain relevant to their duties and responsibilities.</w:t>
      </w:r>
    </w:p>
    <w:p w14:paraId="3557B356" w14:textId="77777777" w:rsidR="00A81039" w:rsidRDefault="00A81039" w:rsidP="009A15CF">
      <w:pPr>
        <w:rPr>
          <w:rFonts w:eastAsiaTheme="majorEastAsia" w:cs="Times New Roman (Headings CS)"/>
          <w:color w:val="091F40"/>
          <w:sz w:val="48"/>
          <w:szCs w:val="32"/>
        </w:rPr>
      </w:pPr>
      <w:bookmarkStart w:id="12" w:name="_Toc127270918"/>
      <w:r>
        <w:br w:type="page"/>
      </w:r>
    </w:p>
    <w:p w14:paraId="3FEEAD1E" w14:textId="6D1AB9D3" w:rsidR="002773F3" w:rsidRDefault="002773F3" w:rsidP="00FF5D16">
      <w:pPr>
        <w:pStyle w:val="Heading1"/>
        <w:spacing w:after="360"/>
      </w:pPr>
      <w:r>
        <w:lastRenderedPageBreak/>
        <w:t>Roles</w:t>
      </w:r>
      <w:bookmarkEnd w:id="12"/>
    </w:p>
    <w:p w14:paraId="6D45873E" w14:textId="77777777" w:rsidR="002773F3" w:rsidRPr="005D4D97" w:rsidRDefault="002773F3" w:rsidP="009A15CF">
      <w:pPr>
        <w:pStyle w:val="Heading2"/>
      </w:pPr>
      <w:bookmarkStart w:id="13" w:name="_Toc127270919"/>
      <w:r w:rsidRPr="005D4D97">
        <w:t>Role of the Chair</w:t>
      </w:r>
      <w:bookmarkEnd w:id="13"/>
    </w:p>
    <w:p w14:paraId="1F62417F" w14:textId="77777777" w:rsidR="002773F3" w:rsidRDefault="002773F3" w:rsidP="009A15CF">
      <w:r>
        <w:t>The role of the Chair is to:</w:t>
      </w:r>
    </w:p>
    <w:p w14:paraId="1777753D" w14:textId="44A032A9" w:rsidR="002773F3" w:rsidRDefault="00097336" w:rsidP="00FF5D16">
      <w:pPr>
        <w:pStyle w:val="Bullet1"/>
        <w:spacing w:line="260" w:lineRule="atLeast"/>
      </w:pPr>
      <w:r>
        <w:t>l</w:t>
      </w:r>
      <w:r w:rsidR="002773F3">
        <w:t>ead the Board and ensure compliance with laws and obligations</w:t>
      </w:r>
    </w:p>
    <w:p w14:paraId="5CD95F4E" w14:textId="6062BE88" w:rsidR="002773F3" w:rsidRDefault="00097336" w:rsidP="00FF5D16">
      <w:pPr>
        <w:pStyle w:val="Bullet1"/>
        <w:spacing w:line="260" w:lineRule="atLeast"/>
      </w:pPr>
      <w:r>
        <w:t>d</w:t>
      </w:r>
      <w:r w:rsidR="002773F3">
        <w:t>evelop Commissioners to be a cohesive and effective team</w:t>
      </w:r>
    </w:p>
    <w:p w14:paraId="1A2A0B61" w14:textId="15D49639" w:rsidR="002773F3" w:rsidRDefault="00097336" w:rsidP="00FF5D16">
      <w:pPr>
        <w:pStyle w:val="Bullet1"/>
        <w:spacing w:line="260" w:lineRule="atLeast"/>
      </w:pPr>
      <w:r>
        <w:t>e</w:t>
      </w:r>
      <w:r w:rsidR="002773F3">
        <w:t>nsure Commissioners are briefed on matters relevant to their role and responsibilities</w:t>
      </w:r>
    </w:p>
    <w:p w14:paraId="13E05B68" w14:textId="7E04AD05" w:rsidR="00BD0388" w:rsidRDefault="00097336" w:rsidP="00FF5D16">
      <w:pPr>
        <w:pStyle w:val="Bullet1"/>
        <w:spacing w:line="260" w:lineRule="atLeast"/>
      </w:pPr>
      <w:r>
        <w:t>c</w:t>
      </w:r>
      <w:r w:rsidR="00BD0388" w:rsidRPr="00BD0388">
        <w:t>onvene meetings of the Commission</w:t>
      </w:r>
    </w:p>
    <w:p w14:paraId="5A034C1F" w14:textId="59886AFE" w:rsidR="002773F3" w:rsidRDefault="00097336" w:rsidP="00FF5D16">
      <w:pPr>
        <w:pStyle w:val="Bullet1"/>
        <w:spacing w:line="260" w:lineRule="atLeast"/>
      </w:pPr>
      <w:r>
        <w:t>s</w:t>
      </w:r>
      <w:r w:rsidR="002773F3">
        <w:t>et the Board’s agenda and ensure conflicts of interest or duty are identified and managed</w:t>
      </w:r>
    </w:p>
    <w:p w14:paraId="5B6C4DE6" w14:textId="39FB1068" w:rsidR="00BD0388" w:rsidRDefault="00097336" w:rsidP="00FF5D16">
      <w:pPr>
        <w:pStyle w:val="Bullet1"/>
        <w:spacing w:line="260" w:lineRule="atLeast"/>
      </w:pPr>
      <w:r>
        <w:t>p</w:t>
      </w:r>
      <w:r w:rsidR="00BD0388">
        <w:t>reside at meetings of the Commission Board</w:t>
      </w:r>
    </w:p>
    <w:p w14:paraId="6ED58C1B" w14:textId="25948580" w:rsidR="00BD0388" w:rsidRDefault="00097336" w:rsidP="00FF5D16">
      <w:pPr>
        <w:pStyle w:val="Bullet1"/>
        <w:spacing w:line="260" w:lineRule="atLeast"/>
      </w:pPr>
      <w:r>
        <w:t>a</w:t>
      </w:r>
      <w:r w:rsidR="00BD0388">
        <w:t>rrange for the Commission to conduct inquiries</w:t>
      </w:r>
    </w:p>
    <w:p w14:paraId="4B8C30D4" w14:textId="0B05B25C" w:rsidR="002773F3" w:rsidRDefault="00097336" w:rsidP="00FF5D16">
      <w:pPr>
        <w:pStyle w:val="Bullet1"/>
        <w:spacing w:line="260" w:lineRule="atLeast"/>
      </w:pPr>
      <w:r>
        <w:t>e</w:t>
      </w:r>
      <w:r w:rsidR="002773F3">
        <w:t>nsure all policies adopted by the VGCCC or the Board are readily accessible to Commissioners</w:t>
      </w:r>
    </w:p>
    <w:p w14:paraId="5C3A209C" w14:textId="7420FCCE" w:rsidR="002773F3" w:rsidRDefault="00097336" w:rsidP="00FF5D16">
      <w:pPr>
        <w:pStyle w:val="Bullet1"/>
        <w:spacing w:line="260" w:lineRule="atLeast"/>
      </w:pPr>
      <w:r>
        <w:t>e</w:t>
      </w:r>
      <w:r w:rsidR="002773F3">
        <w:t>stablish an effective relationship with the CEO, providing advice and direction to help the CEO achieve outcomes in line with the VGCCC’s purpose and strategic priorities</w:t>
      </w:r>
    </w:p>
    <w:p w14:paraId="3D01FA95" w14:textId="3F91A804" w:rsidR="002773F3" w:rsidRDefault="00097336" w:rsidP="00FF5D16">
      <w:pPr>
        <w:pStyle w:val="Bullet1"/>
        <w:spacing w:line="260" w:lineRule="atLeast"/>
      </w:pPr>
      <w:r>
        <w:t>a</w:t>
      </w:r>
      <w:r w:rsidR="002773F3">
        <w:t>ct as the liaison between the Board and VGCCC management</w:t>
      </w:r>
    </w:p>
    <w:p w14:paraId="0FF6EDEA" w14:textId="12CBC579" w:rsidR="002773F3" w:rsidRDefault="00097336" w:rsidP="00FF5D16">
      <w:pPr>
        <w:pStyle w:val="Bullet1"/>
        <w:spacing w:line="260" w:lineRule="atLeast"/>
      </w:pPr>
      <w:r>
        <w:t>i</w:t>
      </w:r>
      <w:r w:rsidR="002773F3">
        <w:t>nform the Minister about significant issues and events</w:t>
      </w:r>
    </w:p>
    <w:p w14:paraId="0F11DDF0" w14:textId="75D56E6D" w:rsidR="002773F3" w:rsidRDefault="00097336" w:rsidP="00FF5D16">
      <w:pPr>
        <w:pStyle w:val="Bullet1"/>
        <w:spacing w:line="260" w:lineRule="atLeast"/>
      </w:pPr>
      <w:r>
        <w:t>m</w:t>
      </w:r>
      <w:r w:rsidR="002773F3">
        <w:t>anage Board principal relationships (especially with the Minister and CEO</w:t>
      </w:r>
      <w:r w:rsidR="008F48DC">
        <w:t>)</w:t>
      </w:r>
    </w:p>
    <w:p w14:paraId="3B7BEEF2" w14:textId="35972AEC" w:rsidR="002773F3" w:rsidRDefault="00097336" w:rsidP="00FF5D16">
      <w:pPr>
        <w:pStyle w:val="Bullet1"/>
        <w:spacing w:line="260" w:lineRule="atLeast"/>
      </w:pPr>
      <w:r>
        <w:t>r</w:t>
      </w:r>
      <w:r w:rsidR="002773F3">
        <w:t>epresent the VGCCC to external stakeholders as an official spokesperson</w:t>
      </w:r>
      <w:r w:rsidR="00C66A73">
        <w:t xml:space="preserve"> unless the Chair has delegated this role to the CEO</w:t>
      </w:r>
      <w:r w:rsidR="002773F3">
        <w:t>.</w:t>
      </w:r>
    </w:p>
    <w:p w14:paraId="1C8A7A94" w14:textId="65B62EF2" w:rsidR="002773F3" w:rsidRDefault="002773F3" w:rsidP="00FF5D16">
      <w:pPr>
        <w:spacing w:line="260" w:lineRule="atLeast"/>
      </w:pPr>
      <w:r>
        <w:t>The Act confers all the rights, powers, authorities and duties of an employer in respect of the VGCCC and its employees to the Chair.</w:t>
      </w:r>
    </w:p>
    <w:p w14:paraId="078D503E" w14:textId="77777777" w:rsidR="002773F3" w:rsidRPr="005D4D97" w:rsidRDefault="002773F3" w:rsidP="009A15CF">
      <w:pPr>
        <w:pStyle w:val="Heading2"/>
      </w:pPr>
      <w:bookmarkStart w:id="14" w:name="_Toc127270920"/>
      <w:r w:rsidRPr="005D4D97">
        <w:t>Role of the Deputy Chair</w:t>
      </w:r>
      <w:bookmarkEnd w:id="14"/>
    </w:p>
    <w:p w14:paraId="534C1125" w14:textId="778B3F89" w:rsidR="002773F3" w:rsidRPr="005D4D97" w:rsidRDefault="002773F3" w:rsidP="00FF5D16">
      <w:pPr>
        <w:spacing w:line="260" w:lineRule="atLeast"/>
      </w:pPr>
      <w:r w:rsidRPr="005D4D97">
        <w:t>The Deputy Chair is responsible for</w:t>
      </w:r>
      <w:r>
        <w:t>:</w:t>
      </w:r>
    </w:p>
    <w:p w14:paraId="283AA23E" w14:textId="241055C7" w:rsidR="002773F3" w:rsidRDefault="00097336" w:rsidP="00FF5D16">
      <w:pPr>
        <w:pStyle w:val="Bullet1"/>
        <w:spacing w:line="260" w:lineRule="atLeast"/>
      </w:pPr>
      <w:r>
        <w:t>a</w:t>
      </w:r>
      <w:r w:rsidR="002773F3">
        <w:t>t the Chair’s request, supporting the Chair in the performance of their role.</w:t>
      </w:r>
    </w:p>
    <w:p w14:paraId="6C6EEA47" w14:textId="204303F2" w:rsidR="002773F3" w:rsidRPr="00DD1B67" w:rsidRDefault="00097336" w:rsidP="00FF5D16">
      <w:pPr>
        <w:pStyle w:val="Bullet1"/>
        <w:spacing w:line="260" w:lineRule="atLeast"/>
      </w:pPr>
      <w:r>
        <w:t>p</w:t>
      </w:r>
      <w:r w:rsidR="002773F3">
        <w:t xml:space="preserve">residing at meetings of the Commission Board in the absence of the Chair </w:t>
      </w:r>
      <w:r w:rsidR="002773F3" w:rsidRPr="00143063">
        <w:t>if there is no acting Chair</w:t>
      </w:r>
    </w:p>
    <w:p w14:paraId="761EAA1D" w14:textId="4CD3D372" w:rsidR="002773F3" w:rsidRDefault="00097336" w:rsidP="00FF5D16">
      <w:pPr>
        <w:pStyle w:val="Bullet1"/>
        <w:spacing w:line="260" w:lineRule="atLeast"/>
      </w:pPr>
      <w:r>
        <w:t>p</w:t>
      </w:r>
      <w:r w:rsidR="002773F3">
        <w:t>residing at hearings for a</w:t>
      </w:r>
      <w:r w:rsidR="002773F3" w:rsidRPr="00143063">
        <w:t>ppeal</w:t>
      </w:r>
      <w:r w:rsidR="002773F3">
        <w:t>s</w:t>
      </w:r>
      <w:r w:rsidR="002773F3" w:rsidRPr="00143063">
        <w:t xml:space="preserve"> against decision</w:t>
      </w:r>
      <w:r w:rsidR="002773F3">
        <w:t>s</w:t>
      </w:r>
      <w:r w:rsidR="002773F3" w:rsidRPr="00143063">
        <w:t xml:space="preserve"> of the </w:t>
      </w:r>
      <w:r w:rsidR="002773F3">
        <w:t xml:space="preserve">VGCCC </w:t>
      </w:r>
      <w:r w:rsidR="002773F3" w:rsidRPr="00143063">
        <w:t xml:space="preserve">under </w:t>
      </w:r>
      <w:r w:rsidR="002773F3">
        <w:t xml:space="preserve">specific </w:t>
      </w:r>
      <w:r w:rsidR="002773F3" w:rsidRPr="00143063">
        <w:t>section</w:t>
      </w:r>
      <w:r w:rsidR="002773F3">
        <w:t>s</w:t>
      </w:r>
      <w:r w:rsidR="002773F3" w:rsidRPr="00143063">
        <w:t xml:space="preserve"> of the </w:t>
      </w:r>
      <w:r w:rsidR="002773F3" w:rsidRPr="00097336">
        <w:rPr>
          <w:i/>
          <w:iCs/>
        </w:rPr>
        <w:t>Gambling Regulation Act 2003</w:t>
      </w:r>
      <w:r w:rsidR="002773F3" w:rsidRPr="00143063">
        <w:t xml:space="preserve"> </w:t>
      </w:r>
      <w:r w:rsidR="002773F3">
        <w:t>in the absence of the</w:t>
      </w:r>
      <w:r w:rsidR="002773F3" w:rsidRPr="00143063">
        <w:t xml:space="preserve"> Chair.</w:t>
      </w:r>
    </w:p>
    <w:p w14:paraId="11711259" w14:textId="77777777" w:rsidR="002773F3" w:rsidRPr="005D4D97" w:rsidRDefault="002773F3" w:rsidP="009A15CF">
      <w:pPr>
        <w:pStyle w:val="Heading2"/>
      </w:pPr>
      <w:bookmarkStart w:id="15" w:name="_Toc127270921"/>
      <w:r w:rsidRPr="005D4D97">
        <w:t xml:space="preserve">Role of the </w:t>
      </w:r>
      <w:r>
        <w:t>Acting</w:t>
      </w:r>
      <w:r w:rsidRPr="005D4D97">
        <w:t xml:space="preserve"> Chair</w:t>
      </w:r>
      <w:bookmarkEnd w:id="15"/>
    </w:p>
    <w:p w14:paraId="39D9A4E4" w14:textId="77777777" w:rsidR="002773F3" w:rsidRDefault="002773F3" w:rsidP="00FF5D16">
      <w:pPr>
        <w:spacing w:line="260" w:lineRule="atLeast"/>
      </w:pPr>
      <w:r>
        <w:t>The Minister may appoint a Commissioner to act in the office of the Chair if the Chair is absent or, for any other reason, is unable to perform the duties of office.</w:t>
      </w:r>
    </w:p>
    <w:p w14:paraId="6D97A062" w14:textId="77777777" w:rsidR="002773F3" w:rsidRDefault="002773F3" w:rsidP="00FF5D16">
      <w:pPr>
        <w:spacing w:line="260" w:lineRule="atLeast"/>
      </w:pPr>
      <w:r>
        <w:t>While acting in the Chair's place, the acting Chair has and may perform all the functions of the Chair.</w:t>
      </w:r>
    </w:p>
    <w:p w14:paraId="6CF0BC78" w14:textId="77777777" w:rsidR="002773F3" w:rsidRPr="005D4D97" w:rsidRDefault="002773F3" w:rsidP="009A15CF">
      <w:pPr>
        <w:pStyle w:val="Heading2"/>
      </w:pPr>
      <w:bookmarkStart w:id="16" w:name="_Toc127270922"/>
      <w:r w:rsidRPr="005D4D97">
        <w:t>Role of the Chief Executive Officer</w:t>
      </w:r>
      <w:bookmarkEnd w:id="16"/>
      <w:r w:rsidRPr="005D4D97">
        <w:t xml:space="preserve"> </w:t>
      </w:r>
    </w:p>
    <w:p w14:paraId="6A7B44F2" w14:textId="7118872E" w:rsidR="002773F3" w:rsidRDefault="002773F3" w:rsidP="00FF5D16">
      <w:pPr>
        <w:spacing w:line="260" w:lineRule="atLeast"/>
      </w:pPr>
      <w:r>
        <w:t>The Chief Executive Officer is appointed by the Commission in consultation with the Minister</w:t>
      </w:r>
      <w:r w:rsidR="00846544">
        <w:t>.</w:t>
      </w:r>
      <w:r>
        <w:t xml:space="preserve"> </w:t>
      </w:r>
    </w:p>
    <w:p w14:paraId="3AC49F2A" w14:textId="35F2CC68" w:rsidR="00A81039" w:rsidRDefault="002773F3" w:rsidP="00FF5D16">
      <w:pPr>
        <w:spacing w:line="260" w:lineRule="atLeast"/>
      </w:pPr>
      <w:r>
        <w:t>The Chief Executive Officer is responsible to the Commission for the day-to-day management and administration of the affairs of the Commission.</w:t>
      </w:r>
      <w:r w:rsidR="00A81039">
        <w:br w:type="page"/>
      </w:r>
    </w:p>
    <w:p w14:paraId="49E1AB10" w14:textId="77777777" w:rsidR="00675505" w:rsidRDefault="00675505" w:rsidP="009A15CF">
      <w:pPr>
        <w:pStyle w:val="Heading1"/>
      </w:pPr>
      <w:bookmarkStart w:id="17" w:name="_Toc127270923"/>
      <w:r>
        <w:lastRenderedPageBreak/>
        <w:t>Committees</w:t>
      </w:r>
      <w:bookmarkEnd w:id="17"/>
    </w:p>
    <w:p w14:paraId="716C617F" w14:textId="77777777" w:rsidR="00675505" w:rsidRDefault="00675505" w:rsidP="009A15CF">
      <w:r>
        <w:t>The Board may from time to time, by resolution, appoint committees of Commissioners, or Commissioners and other persons, as it thinks fit and may discharge, alter, continue or reconstitute any committee appointed.</w:t>
      </w:r>
    </w:p>
    <w:p w14:paraId="65E5396C" w14:textId="77777777" w:rsidR="00675505" w:rsidRDefault="00675505" w:rsidP="009A15CF">
      <w:r>
        <w:t xml:space="preserve">The Board may delegate any of its powers and functions to any committee and board committees are permitted to make decisions within the authority of their Board approved scope and without a meeting being held, by circular resolution. </w:t>
      </w:r>
    </w:p>
    <w:p w14:paraId="2E02A15D" w14:textId="3770149A" w:rsidR="00675505" w:rsidRDefault="00675505" w:rsidP="009A15CF">
      <w:r>
        <w:t>The Chair of each committee will be determined by the Board.</w:t>
      </w:r>
    </w:p>
    <w:p w14:paraId="0E5DF48E" w14:textId="686179B7" w:rsidR="008E655A" w:rsidRDefault="00E81088" w:rsidP="009A15CF">
      <w:r w:rsidRPr="00E81088">
        <w:t>Each Committee will be required to undertake an assessment of its own performance against their Charter and report to the Commission Board on the outcome of the assessment.</w:t>
      </w:r>
    </w:p>
    <w:p w14:paraId="274B7A16" w14:textId="2790ACB8" w:rsidR="002773F3" w:rsidRDefault="002773F3" w:rsidP="009A15CF">
      <w:pPr>
        <w:pStyle w:val="Heading1"/>
      </w:pPr>
      <w:bookmarkStart w:id="18" w:name="_Toc127270924"/>
      <w:r>
        <w:t xml:space="preserve">Conduct and </w:t>
      </w:r>
      <w:r w:rsidR="00097336">
        <w:t>v</w:t>
      </w:r>
      <w:r>
        <w:t>alues</w:t>
      </w:r>
      <w:bookmarkEnd w:id="18"/>
    </w:p>
    <w:p w14:paraId="01C79AE4" w14:textId="77777777" w:rsidR="002773F3" w:rsidRPr="00B8320A" w:rsidRDefault="002773F3" w:rsidP="009A15CF">
      <w:pPr>
        <w:pStyle w:val="Heading2"/>
      </w:pPr>
      <w:bookmarkStart w:id="19" w:name="_Toc127270925"/>
      <w:r w:rsidRPr="00B8320A">
        <w:t>Conduct</w:t>
      </w:r>
      <w:bookmarkEnd w:id="19"/>
    </w:p>
    <w:p w14:paraId="618DD4A6" w14:textId="70EB78E4" w:rsidR="002773F3" w:rsidRDefault="002773F3" w:rsidP="009A15CF">
      <w:r>
        <w:t xml:space="preserve">Commissioners will carry out their duties </w:t>
      </w:r>
      <w:r w:rsidR="00BD0388" w:rsidRPr="00BD0388">
        <w:t xml:space="preserve">in accordance with the law and legal requirements set out in the Act, </w:t>
      </w:r>
      <w:r w:rsidR="00097336">
        <w:t>g</w:t>
      </w:r>
      <w:r w:rsidR="00BD0388" w:rsidRPr="00BD0388">
        <w:t>overnment policy, Ministerial directions and decision-making guidelines, gambling legislation (as defined by the Act), the Racing Act and any other relevant legislation</w:t>
      </w:r>
      <w:r>
        <w:t>.</w:t>
      </w:r>
    </w:p>
    <w:p w14:paraId="1923CA83" w14:textId="5E664D44" w:rsidR="002773F3" w:rsidRDefault="002773F3" w:rsidP="009A15CF">
      <w:r>
        <w:t xml:space="preserve">Commissioners are required to comply with the Code of Conduct for Directors of Victorian Public Entities, </w:t>
      </w:r>
      <w:r w:rsidR="00F17A32">
        <w:t>the</w:t>
      </w:r>
      <w:r w:rsidR="006935AF">
        <w:t xml:space="preserve"> PA Act</w:t>
      </w:r>
      <w:r w:rsidR="00F17A32">
        <w:rPr>
          <w:i/>
          <w:iCs/>
        </w:rPr>
        <w:t>,</w:t>
      </w:r>
      <w:r>
        <w:t xml:space="preserve"> </w:t>
      </w:r>
      <w:r w:rsidR="00097336">
        <w:t>p</w:t>
      </w:r>
      <w:r>
        <w:t xml:space="preserve">ublic </w:t>
      </w:r>
      <w:r w:rsidR="00097336">
        <w:t>s</w:t>
      </w:r>
      <w:r>
        <w:t xml:space="preserve">ector </w:t>
      </w:r>
      <w:r w:rsidR="00097336">
        <w:t>v</w:t>
      </w:r>
      <w:r>
        <w:t>alues and VGCCC policies.</w:t>
      </w:r>
    </w:p>
    <w:p w14:paraId="0D1CC4C8" w14:textId="39570EB4" w:rsidR="002773F3" w:rsidRDefault="002773F3" w:rsidP="009A15CF">
      <w:r>
        <w:t>In addition to its statutory responsibilities, the Board will demonstrate the highest levels of appropriate conduct by reflecting the Commission’s purpose to ensure integrity, safety and fairness for all, its values and behaviours in its interactions with each other, staff and external stakeholders.</w:t>
      </w:r>
    </w:p>
    <w:p w14:paraId="23B5E12F" w14:textId="77777777" w:rsidR="002773F3" w:rsidRPr="00E35445" w:rsidRDefault="002773F3" w:rsidP="009A15CF">
      <w:pPr>
        <w:pStyle w:val="Heading2"/>
      </w:pPr>
      <w:bookmarkStart w:id="20" w:name="_Toc127270926"/>
      <w:r>
        <w:t>Values</w:t>
      </w:r>
      <w:bookmarkEnd w:id="20"/>
    </w:p>
    <w:p w14:paraId="138C8837" w14:textId="79AD0D13" w:rsidR="002773F3" w:rsidRDefault="002773F3" w:rsidP="009A15CF">
      <w:r>
        <w:t xml:space="preserve">The Commission’s </w:t>
      </w:r>
      <w:r w:rsidR="00097336">
        <w:t>v</w:t>
      </w:r>
      <w:r>
        <w:t>alues are:</w:t>
      </w:r>
    </w:p>
    <w:p w14:paraId="11526C0B" w14:textId="77777777" w:rsidR="002773F3" w:rsidRDefault="002773F3" w:rsidP="009A15CF">
      <w:pPr>
        <w:pStyle w:val="Bullet1"/>
      </w:pPr>
      <w:r>
        <w:t>Work together</w:t>
      </w:r>
    </w:p>
    <w:p w14:paraId="22078F1B" w14:textId="77777777" w:rsidR="002773F3" w:rsidRDefault="002773F3" w:rsidP="009A15CF">
      <w:pPr>
        <w:pStyle w:val="Bullet1"/>
      </w:pPr>
      <w:r>
        <w:t>Respect other people</w:t>
      </w:r>
    </w:p>
    <w:p w14:paraId="1709BFA0" w14:textId="77777777" w:rsidR="002773F3" w:rsidRDefault="002773F3" w:rsidP="009A15CF">
      <w:pPr>
        <w:pStyle w:val="Bullet1"/>
      </w:pPr>
      <w:r>
        <w:t>Act with Integrity</w:t>
      </w:r>
    </w:p>
    <w:p w14:paraId="6C09152B" w14:textId="77777777" w:rsidR="002773F3" w:rsidRDefault="002773F3" w:rsidP="009A15CF">
      <w:pPr>
        <w:pStyle w:val="Bullet1"/>
      </w:pPr>
      <w:r>
        <w:t>Make it happen</w:t>
      </w:r>
    </w:p>
    <w:p w14:paraId="2DDD4FA2" w14:textId="2C1D6A37" w:rsidR="008E655A" w:rsidRDefault="002773F3" w:rsidP="009A15CF">
      <w:pPr>
        <w:pStyle w:val="Bullet1"/>
      </w:pPr>
      <w:r>
        <w:t>Act with courage and confidence</w:t>
      </w:r>
      <w:r w:rsidR="00097336">
        <w:t>.</w:t>
      </w:r>
    </w:p>
    <w:p w14:paraId="421F4804" w14:textId="77777777" w:rsidR="00A81039" w:rsidRDefault="00A81039" w:rsidP="009A15CF">
      <w:pPr>
        <w:rPr>
          <w:rFonts w:eastAsiaTheme="majorEastAsia" w:cs="Times New Roman (Headings CS)"/>
          <w:color w:val="091F40"/>
          <w:sz w:val="48"/>
          <w:szCs w:val="32"/>
        </w:rPr>
      </w:pPr>
      <w:bookmarkStart w:id="21" w:name="_Toc127270927"/>
      <w:r>
        <w:br w:type="page"/>
      </w:r>
    </w:p>
    <w:p w14:paraId="01C9D797" w14:textId="0EBB4A55" w:rsidR="00F17A32" w:rsidRDefault="00F17A32" w:rsidP="009A15CF">
      <w:pPr>
        <w:pStyle w:val="Heading1"/>
      </w:pPr>
      <w:r>
        <w:lastRenderedPageBreak/>
        <w:t>Meetings</w:t>
      </w:r>
      <w:bookmarkEnd w:id="21"/>
    </w:p>
    <w:p w14:paraId="79AAD80A" w14:textId="77777777" w:rsidR="00F17A32" w:rsidRDefault="00F17A32" w:rsidP="009A15CF">
      <w:r>
        <w:t>The Commission Board meetings are held according to procedures specified in the Commission Board Meeting Procedures.</w:t>
      </w:r>
    </w:p>
    <w:p w14:paraId="2A2EF60A" w14:textId="13D5AD32" w:rsidR="00F17A32" w:rsidRDefault="00F17A32" w:rsidP="009A15CF">
      <w:r>
        <w:t>An annual meeting schedule will be prepared in advance</w:t>
      </w:r>
      <w:r w:rsidR="00C66A73">
        <w:t xml:space="preserve">, usually in </w:t>
      </w:r>
      <w:r w:rsidR="001B32EA">
        <w:t>October of the preceding year</w:t>
      </w:r>
      <w:r>
        <w:t>.</w:t>
      </w:r>
    </w:p>
    <w:p w14:paraId="66A1A197" w14:textId="6EC5E7B5" w:rsidR="00F17A32" w:rsidRDefault="00F17A32" w:rsidP="009A15CF">
      <w:r>
        <w:t>The Chair may convene special meetings in addition to the annual scheduled meetings as required for the efficient conduct of its affairs</w:t>
      </w:r>
      <w:r w:rsidR="00846544">
        <w:t>.</w:t>
      </w:r>
    </w:p>
    <w:p w14:paraId="61C11464" w14:textId="361F6DD9" w:rsidR="00F17A32" w:rsidRDefault="00F17A32" w:rsidP="009A15CF">
      <w:r>
        <w:t>The Commission Board may meet in person or by electronic means with the expectation that commissioners will endeavour to physically attend nominated ‘in person’ meetings</w:t>
      </w:r>
      <w:r w:rsidR="00846544">
        <w:t>.</w:t>
      </w:r>
    </w:p>
    <w:p w14:paraId="49A0721F" w14:textId="4B9ED1C4" w:rsidR="003E3F7F" w:rsidRDefault="00F17A32" w:rsidP="009A15CF">
      <w:r>
        <w:t>A quorum for a Commission Board meeting is three commissioners, at least one of whom must be the Chair or Deputy Chair.</w:t>
      </w:r>
    </w:p>
    <w:p w14:paraId="4B72F5D5" w14:textId="129227E1" w:rsidR="00BB13FF" w:rsidRDefault="00BB13FF" w:rsidP="009A15CF">
      <w:pPr>
        <w:pStyle w:val="Heading2"/>
      </w:pPr>
      <w:bookmarkStart w:id="22" w:name="_Toc127270928"/>
      <w:r w:rsidRPr="0028593A">
        <w:t xml:space="preserve">Agenda, </w:t>
      </w:r>
      <w:r w:rsidR="00097336">
        <w:t>p</w:t>
      </w:r>
      <w:r w:rsidRPr="0028593A">
        <w:t xml:space="preserve">apers and </w:t>
      </w:r>
      <w:r w:rsidR="00097336">
        <w:t>m</w:t>
      </w:r>
      <w:r w:rsidRPr="0028593A">
        <w:t>inutes</w:t>
      </w:r>
      <w:bookmarkEnd w:id="22"/>
    </w:p>
    <w:p w14:paraId="144DD62E" w14:textId="77777777" w:rsidR="00BB13FF" w:rsidRDefault="00BB13FF" w:rsidP="009A15CF">
      <w:r w:rsidRPr="0028593A">
        <w:t xml:space="preserve">An </w:t>
      </w:r>
      <w:r>
        <w:t>a</w:t>
      </w:r>
      <w:r w:rsidRPr="0028593A">
        <w:t>genda for each</w:t>
      </w:r>
      <w:r>
        <w:t xml:space="preserve"> Board meeting is prepared by the Chair in consultation with the CEO. Any Commissioner may request an item to be included on the agenda provided the Chair has been given prior notice.</w:t>
      </w:r>
    </w:p>
    <w:p w14:paraId="091E6879" w14:textId="77777777" w:rsidR="00BB13FF" w:rsidRDefault="00BB13FF" w:rsidP="009A15CF">
      <w:r>
        <w:t xml:space="preserve">The agenda and papers for each Board meeting will be distributed to Commissioners no less than four working days in advance of </w:t>
      </w:r>
      <w:r w:rsidRPr="004B0F68">
        <w:t>monthly meeting and as soon as practicable for urgent special meetings</w:t>
      </w:r>
      <w:r>
        <w:t xml:space="preserve"> to allow Commissioners to review the papers.</w:t>
      </w:r>
    </w:p>
    <w:p w14:paraId="26E21CAE" w14:textId="314DAA4E" w:rsidR="00BB13FF" w:rsidRDefault="00BB13FF" w:rsidP="009A15CF">
      <w:r>
        <w:t>Minutes of each governance and regulatory meeting will be prepared by the Commission Secretary and after approval by the Chair confirmed respectively at the next meeting.</w:t>
      </w:r>
    </w:p>
    <w:p w14:paraId="13DA322E" w14:textId="2066302D" w:rsidR="00F17A32" w:rsidRDefault="00F17A32" w:rsidP="009A15CF">
      <w:pPr>
        <w:pStyle w:val="Heading2"/>
      </w:pPr>
      <w:bookmarkStart w:id="23" w:name="_Toc127270929"/>
      <w:r w:rsidRPr="006275FD">
        <w:t xml:space="preserve">Resolutions without </w:t>
      </w:r>
      <w:r w:rsidR="00D32C17">
        <w:t>m</w:t>
      </w:r>
      <w:r w:rsidRPr="006275FD">
        <w:t>eetings</w:t>
      </w:r>
      <w:bookmarkEnd w:id="23"/>
    </w:p>
    <w:p w14:paraId="34C3BE5E" w14:textId="00598853" w:rsidR="00F17A32" w:rsidRDefault="00F17A32" w:rsidP="009A15CF">
      <w:r w:rsidRPr="006275FD">
        <w:t>The Commission Board</w:t>
      </w:r>
      <w:r>
        <w:t xml:space="preserve"> may pass a resolution without a meeting being held if a majority of Commissioners entitled to vote on the resolution, sign a document containing a statement they are in favour of the resolution set out in the document. The resolution is passed on the day the last of those Commissioners sign the document</w:t>
      </w:r>
      <w:r w:rsidR="00C149CC">
        <w:t>.</w:t>
      </w:r>
    </w:p>
    <w:p w14:paraId="54018963" w14:textId="1F41AEFB" w:rsidR="00C149CC" w:rsidRPr="006275FD" w:rsidRDefault="00C149CC" w:rsidP="009A15CF">
      <w:r>
        <w:t>Processes for Board resolutions without a meeting are set out in the Commission (Board) Meeting Procedures.</w:t>
      </w:r>
    </w:p>
    <w:p w14:paraId="546AE3B4" w14:textId="76A76939" w:rsidR="00F17A32" w:rsidRDefault="00F17A32" w:rsidP="00FF5D16">
      <w:pPr>
        <w:pStyle w:val="Heading1"/>
        <w:spacing w:before="360" w:after="360"/>
      </w:pPr>
      <w:bookmarkStart w:id="24" w:name="_Toc127270930"/>
      <w:r>
        <w:t>Disclosure</w:t>
      </w:r>
      <w:r w:rsidRPr="00B8320A">
        <w:t xml:space="preserve"> of </w:t>
      </w:r>
      <w:r w:rsidR="0038174B">
        <w:t>i</w:t>
      </w:r>
      <w:r w:rsidRPr="00B8320A">
        <w:t>nterest</w:t>
      </w:r>
      <w:r w:rsidR="00BB13FF">
        <w:t>s</w:t>
      </w:r>
      <w:bookmarkEnd w:id="24"/>
    </w:p>
    <w:p w14:paraId="23AE5C24" w14:textId="77777777" w:rsidR="00F17A32" w:rsidRDefault="00F17A32" w:rsidP="009A15CF">
      <w:r>
        <w:t>Processes for disclosure of interests and management of conflict of interests are set out in the Disclosure of Interests Guidelines (Commissioners).</w:t>
      </w:r>
    </w:p>
    <w:p w14:paraId="73118C32" w14:textId="364B5B7E" w:rsidR="00F17A32" w:rsidRDefault="00F17A32" w:rsidP="009A15CF">
      <w:r>
        <w:t xml:space="preserve">If a Commissioner has an interest in a matter being considered by the </w:t>
      </w:r>
      <w:r w:rsidR="00102250">
        <w:t>Commission,</w:t>
      </w:r>
      <w:r>
        <w:t xml:space="preserve"> they must as soon as practicable disclose the nature of the interest to the Chair.</w:t>
      </w:r>
    </w:p>
    <w:p w14:paraId="033C4012" w14:textId="66FED35A" w:rsidR="00F17A32" w:rsidRDefault="00F17A32" w:rsidP="009A15CF">
      <w:r>
        <w:t xml:space="preserve">If the Chair has an interest in a matter being considered by the </w:t>
      </w:r>
      <w:r w:rsidR="00102250">
        <w:t>Commission,</w:t>
      </w:r>
      <w:r>
        <w:t xml:space="preserve"> they must as soon as practicable disclose the nature of the interest to the Minister.</w:t>
      </w:r>
    </w:p>
    <w:p w14:paraId="3972A737" w14:textId="57D0696E" w:rsidR="00F17A32" w:rsidRPr="00230787" w:rsidRDefault="00F17A32" w:rsidP="009A15CF">
      <w:pPr>
        <w:pStyle w:val="Heading2"/>
      </w:pPr>
      <w:bookmarkStart w:id="25" w:name="_Toc127270931"/>
      <w:r w:rsidRPr="00230787">
        <w:t xml:space="preserve">Conflict of </w:t>
      </w:r>
      <w:r w:rsidR="00D32C17">
        <w:t>i</w:t>
      </w:r>
      <w:r w:rsidRPr="00230787">
        <w:t>nterest</w:t>
      </w:r>
      <w:bookmarkEnd w:id="25"/>
    </w:p>
    <w:p w14:paraId="66CC3569" w14:textId="71698151" w:rsidR="008E655A" w:rsidRDefault="00F17A32" w:rsidP="009A15CF">
      <w:r w:rsidRPr="00B8320A">
        <w:t>Commissioners are not involved in decisions where they have a conflict of interest</w:t>
      </w:r>
      <w:r>
        <w:t xml:space="preserve"> or material personal </w:t>
      </w:r>
      <w:r w:rsidRPr="00D32C17">
        <w:t>interest and have a responsibility to take all reasonable steps to avoid actual, potential or personal conflicts of interes</w:t>
      </w:r>
      <w:r>
        <w:t xml:space="preserve">t. </w:t>
      </w:r>
    </w:p>
    <w:p w14:paraId="121F9141" w14:textId="5B304D64" w:rsidR="00BB13FF" w:rsidRDefault="00BB13FF" w:rsidP="009A15CF">
      <w:pPr>
        <w:pStyle w:val="Heading1"/>
      </w:pPr>
      <w:bookmarkStart w:id="26" w:name="PerformanceEvaluation"/>
      <w:bookmarkStart w:id="27" w:name="_Performance_Evaluation"/>
      <w:bookmarkStart w:id="28" w:name="_Toc127270932"/>
      <w:bookmarkEnd w:id="26"/>
      <w:bookmarkEnd w:id="27"/>
      <w:r w:rsidRPr="00230787">
        <w:lastRenderedPageBreak/>
        <w:t xml:space="preserve">Performance </w:t>
      </w:r>
      <w:r w:rsidR="00D32C17">
        <w:t>e</w:t>
      </w:r>
      <w:r w:rsidRPr="00230787">
        <w:t>valuation</w:t>
      </w:r>
      <w:bookmarkEnd w:id="28"/>
    </w:p>
    <w:p w14:paraId="601416BF" w14:textId="77777777" w:rsidR="00BB13FF" w:rsidRDefault="00BB13FF" w:rsidP="009A15CF">
      <w:r w:rsidRPr="00230787">
        <w:t>The Commission Board will evaluate</w:t>
      </w:r>
      <w:r>
        <w:t xml:space="preserve"> its performance annually including its performance against this Charter and the performance of Board Committees.</w:t>
      </w:r>
    </w:p>
    <w:p w14:paraId="12D9B983" w14:textId="1EDADDE4" w:rsidR="008E655A" w:rsidRPr="00BB13FF" w:rsidRDefault="00BB13FF" w:rsidP="009A15CF">
      <w:r w:rsidRPr="00C5057F">
        <w:t xml:space="preserve">Processes for </w:t>
      </w:r>
      <w:r>
        <w:t xml:space="preserve">performance evaluation </w:t>
      </w:r>
      <w:r w:rsidRPr="00C5057F">
        <w:t xml:space="preserve">are set out in the </w:t>
      </w:r>
      <w:r>
        <w:t>Commission (Board) Performance Assessment and Dispute Resolution Policy</w:t>
      </w:r>
      <w:r w:rsidRPr="00C5057F">
        <w:t>.</w:t>
      </w:r>
    </w:p>
    <w:p w14:paraId="67658EAE" w14:textId="7779F45A" w:rsidR="00F17A32" w:rsidRDefault="00F17A32" w:rsidP="009A15CF">
      <w:pPr>
        <w:pStyle w:val="Heading1"/>
      </w:pPr>
      <w:bookmarkStart w:id="29" w:name="_Toc127270933"/>
      <w:r w:rsidRPr="004056C9">
        <w:t>Commission Secretary</w:t>
      </w:r>
      <w:bookmarkEnd w:id="29"/>
    </w:p>
    <w:p w14:paraId="48B1C7C7" w14:textId="1CA0264C" w:rsidR="008E655A" w:rsidRPr="0028593A" w:rsidRDefault="00F17A32" w:rsidP="009A15CF">
      <w:r w:rsidRPr="00D32C17">
        <w:t>The Commission Secretary advises the Commission on governance matters, coordinates the completion and distribution of papers, ensure</w:t>
      </w:r>
      <w:r w:rsidR="00623F4D" w:rsidRPr="00D32C17">
        <w:t>s</w:t>
      </w:r>
      <w:r w:rsidRPr="00D32C17">
        <w:t xml:space="preserve"> the business at meetings is captured accurately in minutes</w:t>
      </w:r>
      <w:r w:rsidR="001B32EA" w:rsidRPr="00D32C17">
        <w:t xml:space="preserve"> and that papers and minutes</w:t>
      </w:r>
      <w:r w:rsidR="001B32EA">
        <w:t xml:space="preserve"> are archived </w:t>
      </w:r>
      <w:r w:rsidR="00C92681">
        <w:t>correctly</w:t>
      </w:r>
      <w:r w:rsidR="00D32C17">
        <w:t>,</w:t>
      </w:r>
      <w:r>
        <w:t xml:space="preserve"> and </w:t>
      </w:r>
      <w:r w:rsidR="001B32EA">
        <w:t xml:space="preserve">also </w:t>
      </w:r>
      <w:r>
        <w:t>provides support to the Chair and Commissioners</w:t>
      </w:r>
      <w:r w:rsidR="00623F4D">
        <w:t>.</w:t>
      </w:r>
    </w:p>
    <w:p w14:paraId="5CAB078F" w14:textId="1AF9AD4C" w:rsidR="00F17A32" w:rsidRDefault="00F17A32" w:rsidP="009A15CF">
      <w:pPr>
        <w:pStyle w:val="Heading1"/>
      </w:pPr>
      <w:bookmarkStart w:id="30" w:name="_Toc127270934"/>
      <w:r w:rsidRPr="00B8320A">
        <w:t xml:space="preserve">Official </w:t>
      </w:r>
      <w:r w:rsidR="00D32C17">
        <w:t>s</w:t>
      </w:r>
      <w:r w:rsidRPr="00B8320A">
        <w:t>eal</w:t>
      </w:r>
      <w:bookmarkEnd w:id="30"/>
    </w:p>
    <w:p w14:paraId="7CC03108" w14:textId="2A13C033" w:rsidR="008E655A" w:rsidRPr="00CC5F76" w:rsidRDefault="00F17A32" w:rsidP="009A15CF">
      <w:r w:rsidRPr="00CC5F76">
        <w:t xml:space="preserve">The official seal is kept </w:t>
      </w:r>
      <w:r>
        <w:t xml:space="preserve">by the General Counsel of the Commission </w:t>
      </w:r>
      <w:r w:rsidRPr="00CC5F76">
        <w:t>and only used with the authority of the Commission</w:t>
      </w:r>
      <w:r>
        <w:t xml:space="preserve"> as specified by the Official Seal Directions.</w:t>
      </w:r>
    </w:p>
    <w:p w14:paraId="42312F26" w14:textId="77777777" w:rsidR="00BB13FF" w:rsidRDefault="00BB13FF" w:rsidP="009A15CF">
      <w:pPr>
        <w:pStyle w:val="Heading1"/>
      </w:pPr>
      <w:bookmarkStart w:id="31" w:name="_Toc127270935"/>
      <w:r w:rsidRPr="00707A4E">
        <w:t>Review</w:t>
      </w:r>
      <w:bookmarkEnd w:id="31"/>
    </w:p>
    <w:p w14:paraId="578947C4" w14:textId="7F72FDD4" w:rsidR="00E37BB2" w:rsidRDefault="00BB13FF" w:rsidP="009A15CF">
      <w:r w:rsidRPr="00707A4E">
        <w:t>The Commission Board Charter is reviewed annually or as required</w:t>
      </w:r>
      <w:r>
        <w:t xml:space="preserve"> to ensure it remains consistent with the Commission Boards statutory objectives, powers, responsibilities and recognised standards of corporate governance.</w:t>
      </w:r>
    </w:p>
    <w:sectPr w:rsidR="00E37BB2" w:rsidSect="00914D79">
      <w:headerReference w:type="default" r:id="rId7"/>
      <w:footerReference w:type="even" r:id="rId8"/>
      <w:footerReference w:type="default" r:id="rId9"/>
      <w:headerReference w:type="first" r:id="rId10"/>
      <w:pgSz w:w="11900" w:h="16840"/>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BFA9" w14:textId="77777777" w:rsidR="00186FBF" w:rsidRDefault="00186FBF" w:rsidP="009A15CF">
      <w:r>
        <w:separator/>
      </w:r>
    </w:p>
  </w:endnote>
  <w:endnote w:type="continuationSeparator" w:id="0">
    <w:p w14:paraId="7DBB8939" w14:textId="77777777" w:rsidR="00186FBF" w:rsidRDefault="00186FBF" w:rsidP="009A15CF">
      <w:r>
        <w:continuationSeparator/>
      </w:r>
    </w:p>
  </w:endnote>
  <w:endnote w:type="continuationNotice" w:id="1">
    <w:p w14:paraId="29129DF2" w14:textId="77777777" w:rsidR="00366DC6" w:rsidRDefault="00366DC6" w:rsidP="009A1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6BD5" w14:textId="77777777" w:rsidR="00FF5D16" w:rsidRDefault="00224E16" w:rsidP="009A15C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F99A736" w14:textId="77777777" w:rsidR="00FF5D16" w:rsidRDefault="00FF5D16" w:rsidP="009A1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63867"/>
      <w:docPartObj>
        <w:docPartGallery w:val="Page Numbers (Bottom of Page)"/>
        <w:docPartUnique/>
      </w:docPartObj>
    </w:sdtPr>
    <w:sdtContent>
      <w:p w14:paraId="3C7C609F" w14:textId="77777777" w:rsidR="00AB208D" w:rsidRDefault="00AB208D" w:rsidP="009A15C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A9378A0" w14:textId="254A8E1C" w:rsidR="00FF5D16" w:rsidRPr="004465C0" w:rsidRDefault="002773F3" w:rsidP="009A15CF">
    <w:pPr>
      <w:pStyle w:val="Footer"/>
      <w:rPr>
        <w:lang w:val="en-AU"/>
      </w:rPr>
    </w:pPr>
    <w:r>
      <w:rPr>
        <w:lang w:val="en-AU"/>
      </w:rPr>
      <w:t>VGCCC Board Charter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4533" w14:textId="77777777" w:rsidR="00186FBF" w:rsidRDefault="00186FBF" w:rsidP="009A15CF">
      <w:r>
        <w:separator/>
      </w:r>
    </w:p>
  </w:footnote>
  <w:footnote w:type="continuationSeparator" w:id="0">
    <w:p w14:paraId="343AFF08" w14:textId="77777777" w:rsidR="00186FBF" w:rsidRDefault="00186FBF" w:rsidP="009A15CF">
      <w:r>
        <w:continuationSeparator/>
      </w:r>
    </w:p>
  </w:footnote>
  <w:footnote w:type="continuationNotice" w:id="1">
    <w:p w14:paraId="4B10E466" w14:textId="77777777" w:rsidR="00366DC6" w:rsidRDefault="00366DC6" w:rsidP="009A1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FEDC" w14:textId="77777777" w:rsidR="00CA5D76" w:rsidRDefault="00C728CE" w:rsidP="009A15CF">
    <w:pPr>
      <w:pStyle w:val="Header"/>
    </w:pPr>
    <w:r>
      <w:rPr>
        <w:noProof/>
      </w:rPr>
      <w:drawing>
        <wp:anchor distT="0" distB="0" distL="114300" distR="114300" simplePos="0" relativeHeight="251658241" behindDoc="1" locked="0" layoutInCell="1" allowOverlap="0" wp14:anchorId="2CC5F6C6" wp14:editId="0FA54F6F">
          <wp:simplePos x="0" y="0"/>
          <wp:positionH relativeFrom="column">
            <wp:posOffset>-540385</wp:posOffset>
          </wp:positionH>
          <wp:positionV relativeFrom="page">
            <wp:posOffset>9728</wp:posOffset>
          </wp:positionV>
          <wp:extent cx="7560000" cy="864000"/>
          <wp:effectExtent l="0" t="0" r="0" b="0"/>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9B68" w14:textId="1C1C7611" w:rsidR="00BC36F0" w:rsidRDefault="00215427" w:rsidP="009A15CF">
    <w:pPr>
      <w:pStyle w:val="Header"/>
    </w:pPr>
    <w:r>
      <w:rPr>
        <w:noProof/>
      </w:rPr>
      <w:drawing>
        <wp:anchor distT="0" distB="0" distL="114300" distR="114300" simplePos="0" relativeHeight="251658240" behindDoc="1" locked="0" layoutInCell="1" allowOverlap="1" wp14:anchorId="1E982E92" wp14:editId="00B6AB95">
          <wp:simplePos x="0" y="0"/>
          <wp:positionH relativeFrom="column">
            <wp:posOffset>-540385</wp:posOffset>
          </wp:positionH>
          <wp:positionV relativeFrom="page">
            <wp:posOffset>0</wp:posOffset>
          </wp:positionV>
          <wp:extent cx="7560000" cy="10698352"/>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60"/>
    <w:multiLevelType w:val="multilevel"/>
    <w:tmpl w:val="13FAE11C"/>
    <w:styleLink w:val="CurrentList15"/>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BF4154"/>
    <w:multiLevelType w:val="multilevel"/>
    <w:tmpl w:val="EAA2D4A6"/>
    <w:styleLink w:val="CurrentList17"/>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04603BC"/>
    <w:multiLevelType w:val="hybridMultilevel"/>
    <w:tmpl w:val="147C23A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170D58"/>
    <w:multiLevelType w:val="hybridMultilevel"/>
    <w:tmpl w:val="924275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FC4449"/>
    <w:multiLevelType w:val="hybridMultilevel"/>
    <w:tmpl w:val="E618D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50326"/>
    <w:multiLevelType w:val="hybridMultilevel"/>
    <w:tmpl w:val="D88CFC7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1D4066B0"/>
    <w:multiLevelType w:val="multilevel"/>
    <w:tmpl w:val="EA4E3804"/>
    <w:styleLink w:val="CurrentList24"/>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0"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CD69AB"/>
    <w:multiLevelType w:val="multilevel"/>
    <w:tmpl w:val="FA4CE064"/>
    <w:lvl w:ilvl="0">
      <w:start w:val="1"/>
      <w:numFmt w:val="decimal"/>
      <w:pStyle w:val="Heading1"/>
      <w:lvlText w:val="%1"/>
      <w:lvlJc w:val="left"/>
      <w:pPr>
        <w:ind w:left="851" w:hanging="851"/>
      </w:pPr>
      <w:rPr>
        <w:rFonts w:hint="default"/>
        <w:i w:val="0"/>
        <w:iCs w:val="0"/>
      </w:rPr>
    </w:lvl>
    <w:lvl w:ilvl="1">
      <w:start w:val="1"/>
      <w:numFmt w:val="decimal"/>
      <w:lvlText w:val="%1.%2"/>
      <w:lvlJc w:val="left"/>
      <w:pPr>
        <w:ind w:left="851" w:hanging="851"/>
      </w:pPr>
      <w:rPr>
        <w:rFonts w:hint="default"/>
        <w:i w:val="0"/>
        <w:iCs w:val="0"/>
      </w:rPr>
    </w:lvl>
    <w:lvl w:ilvl="2">
      <w:start w:val="1"/>
      <w:numFmt w:val="decimal"/>
      <w:lvlText w:val="%1.%2.%3"/>
      <w:lvlJc w:val="left"/>
      <w:pPr>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9F55185"/>
    <w:multiLevelType w:val="multilevel"/>
    <w:tmpl w:val="CAACB2F8"/>
    <w:lvl w:ilvl="0">
      <w:start w:val="1"/>
      <w:numFmt w:val="decimal"/>
      <w:pStyle w:val="NumberedList11"/>
      <w:lvlText w:val="%1."/>
      <w:lvlJc w:val="left"/>
      <w:pPr>
        <w:ind w:left="284" w:hanging="567"/>
      </w:pPr>
      <w:rPr>
        <w:rFonts w:hint="default"/>
      </w:rPr>
    </w:lvl>
    <w:lvl w:ilvl="1">
      <w:start w:val="1"/>
      <w:numFmt w:val="decimal"/>
      <w:pStyle w:val="NumberedList11"/>
      <w:lvlText w:val="%1.%2."/>
      <w:lvlJc w:val="left"/>
      <w:pPr>
        <w:ind w:left="567" w:hanging="283"/>
      </w:pPr>
      <w:rPr>
        <w:rFonts w:hint="default"/>
      </w:rPr>
    </w:lvl>
    <w:lvl w:ilvl="2">
      <w:start w:val="1"/>
      <w:numFmt w:val="decimal"/>
      <w:pStyle w:val="NumberedList111"/>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FD45C2"/>
    <w:multiLevelType w:val="multilevel"/>
    <w:tmpl w:val="2ABCC374"/>
    <w:styleLink w:val="CurrentList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56B7CD3"/>
    <w:multiLevelType w:val="hybridMultilevel"/>
    <w:tmpl w:val="4DA41740"/>
    <w:lvl w:ilvl="0" w:tplc="19A2B9CC">
      <w:start w:val="1"/>
      <w:numFmt w:val="bullet"/>
      <w:pStyle w:val="Bullet2"/>
      <w:lvlText w:val="-"/>
      <w:lvlJc w:val="left"/>
      <w:pPr>
        <w:ind w:left="681" w:hanging="227"/>
      </w:pPr>
      <w:rPr>
        <w:rFonts w:ascii="Courier New" w:hAnsi="Courier New"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E95FE0"/>
    <w:multiLevelType w:val="multilevel"/>
    <w:tmpl w:val="16368E38"/>
    <w:styleLink w:val="CurrentList21"/>
    <w:lvl w:ilvl="0">
      <w:start w:val="1"/>
      <w:numFmt w:val="lowerRoman"/>
      <w:lvlText w:val="%1."/>
      <w:lvlJc w:val="left"/>
      <w:pPr>
        <w:ind w:left="90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8A1EE9"/>
    <w:multiLevelType w:val="multilevel"/>
    <w:tmpl w:val="C6D6B738"/>
    <w:styleLink w:val="CurrentList16"/>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0D9644D"/>
    <w:multiLevelType w:val="hybridMultilevel"/>
    <w:tmpl w:val="4C3AB4B2"/>
    <w:lvl w:ilvl="0" w:tplc="9E22E846">
      <w:start w:val="1"/>
      <w:numFmt w:val="lowerRoman"/>
      <w:pStyle w:val="List-romannumberL3"/>
      <w:lvlText w:val="%1."/>
      <w:lvlJc w:val="lef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231F13"/>
    <w:multiLevelType w:val="multilevel"/>
    <w:tmpl w:val="A112D0A4"/>
    <w:styleLink w:val="CurrentList19"/>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6"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2077FB"/>
    <w:multiLevelType w:val="multilevel"/>
    <w:tmpl w:val="AEAA5142"/>
    <w:styleLink w:val="CurrentList18"/>
    <w:lvl w:ilvl="0">
      <w:start w:val="1"/>
      <w:numFmt w:val="decimal"/>
      <w:lvlText w:val="%1."/>
      <w:lvlJc w:val="left"/>
      <w:pPr>
        <w:ind w:left="567" w:hanging="567"/>
      </w:pPr>
      <w:rPr>
        <w:rFonts w:hint="default"/>
      </w:rPr>
    </w:lvl>
    <w:lvl w:ilvl="1">
      <w:start w:val="1"/>
      <w:numFmt w:val="decimal"/>
      <w:lvlText w:val="%1.%2."/>
      <w:lvlJc w:val="left"/>
      <w:pPr>
        <w:ind w:left="1134" w:hanging="283"/>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61548"/>
    <w:multiLevelType w:val="hybridMultilevel"/>
    <w:tmpl w:val="35742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2F614C"/>
    <w:multiLevelType w:val="multilevel"/>
    <w:tmpl w:val="1F66099E"/>
    <w:styleLink w:val="CurrentList1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FAE4662"/>
    <w:multiLevelType w:val="hybridMultilevel"/>
    <w:tmpl w:val="1BD08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0C92410"/>
    <w:multiLevelType w:val="multilevel"/>
    <w:tmpl w:val="E4F2B134"/>
    <w:lvl w:ilvl="0">
      <w:start w:val="1"/>
      <w:numFmt w:val="decimal"/>
      <w:pStyle w:val="Numberedlist1"/>
      <w:lvlText w:val="%1."/>
      <w:lvlJc w:val="left"/>
      <w:pPr>
        <w:ind w:left="284" w:hanging="28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742E3A"/>
    <w:multiLevelType w:val="hybridMultilevel"/>
    <w:tmpl w:val="3C24979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8"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39" w15:restartNumberingAfterBreak="0">
    <w:nsid w:val="785776B0"/>
    <w:multiLevelType w:val="multilevel"/>
    <w:tmpl w:val="41863E80"/>
    <w:styleLink w:val="CurrentList22"/>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0" w15:restartNumberingAfterBreak="0">
    <w:nsid w:val="7DC71D68"/>
    <w:multiLevelType w:val="multilevel"/>
    <w:tmpl w:val="9948CF7C"/>
    <w:styleLink w:val="CurrentList23"/>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41"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642008570">
    <w:abstractNumId w:val="17"/>
  </w:num>
  <w:num w:numId="2" w16cid:durableId="1606570579">
    <w:abstractNumId w:val="29"/>
  </w:num>
  <w:num w:numId="3" w16cid:durableId="1342469904">
    <w:abstractNumId w:val="14"/>
  </w:num>
  <w:num w:numId="4" w16cid:durableId="1629705985">
    <w:abstractNumId w:val="6"/>
  </w:num>
  <w:num w:numId="5" w16cid:durableId="1305039457">
    <w:abstractNumId w:val="10"/>
  </w:num>
  <w:num w:numId="6" w16cid:durableId="88817933">
    <w:abstractNumId w:val="4"/>
  </w:num>
  <w:num w:numId="7" w16cid:durableId="11808172">
    <w:abstractNumId w:val="18"/>
  </w:num>
  <w:num w:numId="8" w16cid:durableId="1818035415">
    <w:abstractNumId w:val="32"/>
  </w:num>
  <w:num w:numId="9" w16cid:durableId="96291917">
    <w:abstractNumId w:val="24"/>
  </w:num>
  <w:num w:numId="10" w16cid:durableId="787434953">
    <w:abstractNumId w:val="26"/>
  </w:num>
  <w:num w:numId="11" w16cid:durableId="1100293242">
    <w:abstractNumId w:val="28"/>
  </w:num>
  <w:num w:numId="12" w16cid:durableId="1213693599">
    <w:abstractNumId w:val="2"/>
  </w:num>
  <w:num w:numId="13" w16cid:durableId="10574847">
    <w:abstractNumId w:val="22"/>
  </w:num>
  <w:num w:numId="14" w16cid:durableId="1642344736">
    <w:abstractNumId w:val="11"/>
  </w:num>
  <w:num w:numId="15" w16cid:durableId="1547061558">
    <w:abstractNumId w:val="12"/>
  </w:num>
  <w:num w:numId="16" w16cid:durableId="1834561473">
    <w:abstractNumId w:val="31"/>
  </w:num>
  <w:num w:numId="17" w16cid:durableId="838161410">
    <w:abstractNumId w:val="21"/>
  </w:num>
  <w:num w:numId="18" w16cid:durableId="194853419">
    <w:abstractNumId w:val="16"/>
  </w:num>
  <w:num w:numId="19" w16cid:durableId="919217663">
    <w:abstractNumId w:val="23"/>
  </w:num>
  <w:num w:numId="20" w16cid:durableId="2042323137">
    <w:abstractNumId w:val="35"/>
  </w:num>
  <w:num w:numId="21" w16cid:durableId="278951609">
    <w:abstractNumId w:val="41"/>
  </w:num>
  <w:num w:numId="22" w16cid:durableId="883636093">
    <w:abstractNumId w:val="38"/>
  </w:num>
  <w:num w:numId="23" w16cid:durableId="1731342286">
    <w:abstractNumId w:val="36"/>
  </w:num>
  <w:num w:numId="24" w16cid:durableId="1818495346">
    <w:abstractNumId w:val="33"/>
  </w:num>
  <w:num w:numId="25" w16cid:durableId="63187585">
    <w:abstractNumId w:val="0"/>
  </w:num>
  <w:num w:numId="26" w16cid:durableId="1197818313">
    <w:abstractNumId w:val="13"/>
  </w:num>
  <w:num w:numId="27" w16cid:durableId="686255168">
    <w:abstractNumId w:val="20"/>
  </w:num>
  <w:num w:numId="28" w16cid:durableId="825127738">
    <w:abstractNumId w:val="1"/>
  </w:num>
  <w:num w:numId="29" w16cid:durableId="133067813">
    <w:abstractNumId w:val="27"/>
  </w:num>
  <w:num w:numId="30" w16cid:durableId="177937712">
    <w:abstractNumId w:val="25"/>
  </w:num>
  <w:num w:numId="31" w16cid:durableId="306589103">
    <w:abstractNumId w:val="15"/>
  </w:num>
  <w:num w:numId="32" w16cid:durableId="144008624">
    <w:abstractNumId w:val="19"/>
  </w:num>
  <w:num w:numId="33" w16cid:durableId="1818960231">
    <w:abstractNumId w:val="39"/>
  </w:num>
  <w:num w:numId="34" w16cid:durableId="1002003997">
    <w:abstractNumId w:val="40"/>
  </w:num>
  <w:num w:numId="35" w16cid:durableId="1201819974">
    <w:abstractNumId w:val="9"/>
  </w:num>
  <w:num w:numId="36" w16cid:durableId="1608345220">
    <w:abstractNumId w:val="3"/>
  </w:num>
  <w:num w:numId="37" w16cid:durableId="949429721">
    <w:abstractNumId w:val="8"/>
  </w:num>
  <w:num w:numId="38" w16cid:durableId="1384327330">
    <w:abstractNumId w:val="5"/>
  </w:num>
  <w:num w:numId="39" w16cid:durableId="1264336930">
    <w:abstractNumId w:val="37"/>
  </w:num>
  <w:num w:numId="40" w16cid:durableId="992566193">
    <w:abstractNumId w:val="34"/>
  </w:num>
  <w:num w:numId="41" w16cid:durableId="2013294556">
    <w:abstractNumId w:val="7"/>
  </w:num>
  <w:num w:numId="42" w16cid:durableId="51257769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D8"/>
    <w:rsid w:val="0000096E"/>
    <w:rsid w:val="000057F7"/>
    <w:rsid w:val="00056B9F"/>
    <w:rsid w:val="00057BBC"/>
    <w:rsid w:val="000632CC"/>
    <w:rsid w:val="00075E05"/>
    <w:rsid w:val="00080B36"/>
    <w:rsid w:val="00097336"/>
    <w:rsid w:val="000C322B"/>
    <w:rsid w:val="000C3A67"/>
    <w:rsid w:val="000D1240"/>
    <w:rsid w:val="000E51F8"/>
    <w:rsid w:val="000F792F"/>
    <w:rsid w:val="00102250"/>
    <w:rsid w:val="001149A5"/>
    <w:rsid w:val="001358C9"/>
    <w:rsid w:val="00144652"/>
    <w:rsid w:val="00152E1E"/>
    <w:rsid w:val="001624C1"/>
    <w:rsid w:val="00186FBF"/>
    <w:rsid w:val="00194752"/>
    <w:rsid w:val="001B32EA"/>
    <w:rsid w:val="001B7750"/>
    <w:rsid w:val="001C49A9"/>
    <w:rsid w:val="001C760C"/>
    <w:rsid w:val="001D1839"/>
    <w:rsid w:val="001E0932"/>
    <w:rsid w:val="001E7473"/>
    <w:rsid w:val="001F223E"/>
    <w:rsid w:val="00201392"/>
    <w:rsid w:val="002075CE"/>
    <w:rsid w:val="00215427"/>
    <w:rsid w:val="0021786D"/>
    <w:rsid w:val="0022203A"/>
    <w:rsid w:val="00224E16"/>
    <w:rsid w:val="0024339F"/>
    <w:rsid w:val="002453AF"/>
    <w:rsid w:val="002773F3"/>
    <w:rsid w:val="002A4E0D"/>
    <w:rsid w:val="002C18F9"/>
    <w:rsid w:val="002D7AB7"/>
    <w:rsid w:val="003031D8"/>
    <w:rsid w:val="00317F2A"/>
    <w:rsid w:val="003235FD"/>
    <w:rsid w:val="00326D66"/>
    <w:rsid w:val="00341730"/>
    <w:rsid w:val="00352FF0"/>
    <w:rsid w:val="00354F17"/>
    <w:rsid w:val="00363470"/>
    <w:rsid w:val="00366DC6"/>
    <w:rsid w:val="0038174B"/>
    <w:rsid w:val="00385BCD"/>
    <w:rsid w:val="00390D58"/>
    <w:rsid w:val="003A473A"/>
    <w:rsid w:val="003B2025"/>
    <w:rsid w:val="003E3F7F"/>
    <w:rsid w:val="003E7914"/>
    <w:rsid w:val="00413BCB"/>
    <w:rsid w:val="004144BA"/>
    <w:rsid w:val="00424B95"/>
    <w:rsid w:val="00436F05"/>
    <w:rsid w:val="004465C0"/>
    <w:rsid w:val="00475D9A"/>
    <w:rsid w:val="00496DDE"/>
    <w:rsid w:val="00497EF6"/>
    <w:rsid w:val="004B0BC7"/>
    <w:rsid w:val="004B6B79"/>
    <w:rsid w:val="004C3C59"/>
    <w:rsid w:val="004D127D"/>
    <w:rsid w:val="004E0883"/>
    <w:rsid w:val="0056417A"/>
    <w:rsid w:val="005829BC"/>
    <w:rsid w:val="005B54B9"/>
    <w:rsid w:val="005B57D2"/>
    <w:rsid w:val="005E4A11"/>
    <w:rsid w:val="005E52EC"/>
    <w:rsid w:val="00606023"/>
    <w:rsid w:val="00620432"/>
    <w:rsid w:val="00623F4D"/>
    <w:rsid w:val="00641EEA"/>
    <w:rsid w:val="00650DF2"/>
    <w:rsid w:val="00664F03"/>
    <w:rsid w:val="00675505"/>
    <w:rsid w:val="006765CA"/>
    <w:rsid w:val="00692A7F"/>
    <w:rsid w:val="006935AF"/>
    <w:rsid w:val="006B4D8F"/>
    <w:rsid w:val="006C07ED"/>
    <w:rsid w:val="006C10DA"/>
    <w:rsid w:val="006E466E"/>
    <w:rsid w:val="00733E12"/>
    <w:rsid w:val="00774588"/>
    <w:rsid w:val="007C5DCB"/>
    <w:rsid w:val="007D164B"/>
    <w:rsid w:val="007F646E"/>
    <w:rsid w:val="0081121F"/>
    <w:rsid w:val="00817A7A"/>
    <w:rsid w:val="00846544"/>
    <w:rsid w:val="00877BC4"/>
    <w:rsid w:val="008819F1"/>
    <w:rsid w:val="008B279D"/>
    <w:rsid w:val="008C4BAB"/>
    <w:rsid w:val="008C64EA"/>
    <w:rsid w:val="008E655A"/>
    <w:rsid w:val="008F48DC"/>
    <w:rsid w:val="00914D79"/>
    <w:rsid w:val="00936F1D"/>
    <w:rsid w:val="009469EE"/>
    <w:rsid w:val="00946D9E"/>
    <w:rsid w:val="00966681"/>
    <w:rsid w:val="00992CAA"/>
    <w:rsid w:val="009962C2"/>
    <w:rsid w:val="00996764"/>
    <w:rsid w:val="009A1489"/>
    <w:rsid w:val="009A15CF"/>
    <w:rsid w:val="009A3DDE"/>
    <w:rsid w:val="009A75D2"/>
    <w:rsid w:val="009B4769"/>
    <w:rsid w:val="009C0AAB"/>
    <w:rsid w:val="009C6573"/>
    <w:rsid w:val="009E162E"/>
    <w:rsid w:val="009E23DC"/>
    <w:rsid w:val="009E7E4A"/>
    <w:rsid w:val="009F06C7"/>
    <w:rsid w:val="009F7DD6"/>
    <w:rsid w:val="00A12540"/>
    <w:rsid w:val="00A140BA"/>
    <w:rsid w:val="00A35961"/>
    <w:rsid w:val="00A6102D"/>
    <w:rsid w:val="00A62142"/>
    <w:rsid w:val="00A81039"/>
    <w:rsid w:val="00A905F6"/>
    <w:rsid w:val="00AB208D"/>
    <w:rsid w:val="00AB602F"/>
    <w:rsid w:val="00AC4260"/>
    <w:rsid w:val="00AD3F7B"/>
    <w:rsid w:val="00B3760E"/>
    <w:rsid w:val="00B40731"/>
    <w:rsid w:val="00B43268"/>
    <w:rsid w:val="00B63D42"/>
    <w:rsid w:val="00B70537"/>
    <w:rsid w:val="00B82DB6"/>
    <w:rsid w:val="00B9601B"/>
    <w:rsid w:val="00BB13FF"/>
    <w:rsid w:val="00BC36F0"/>
    <w:rsid w:val="00BD0388"/>
    <w:rsid w:val="00BF66AA"/>
    <w:rsid w:val="00C109BB"/>
    <w:rsid w:val="00C149CC"/>
    <w:rsid w:val="00C66A73"/>
    <w:rsid w:val="00C728CE"/>
    <w:rsid w:val="00C816E8"/>
    <w:rsid w:val="00C867BF"/>
    <w:rsid w:val="00C90F37"/>
    <w:rsid w:val="00C92681"/>
    <w:rsid w:val="00CA5D76"/>
    <w:rsid w:val="00CA6C41"/>
    <w:rsid w:val="00CD69BF"/>
    <w:rsid w:val="00D059D1"/>
    <w:rsid w:val="00D13FB2"/>
    <w:rsid w:val="00D32C17"/>
    <w:rsid w:val="00D41FDD"/>
    <w:rsid w:val="00D42507"/>
    <w:rsid w:val="00D5380B"/>
    <w:rsid w:val="00D93F9E"/>
    <w:rsid w:val="00DA3276"/>
    <w:rsid w:val="00DA668B"/>
    <w:rsid w:val="00DB0C29"/>
    <w:rsid w:val="00E027A4"/>
    <w:rsid w:val="00E107AB"/>
    <w:rsid w:val="00E25F9F"/>
    <w:rsid w:val="00E37BB2"/>
    <w:rsid w:val="00E44D6C"/>
    <w:rsid w:val="00E72394"/>
    <w:rsid w:val="00E81088"/>
    <w:rsid w:val="00EC2CDD"/>
    <w:rsid w:val="00F03522"/>
    <w:rsid w:val="00F03B4A"/>
    <w:rsid w:val="00F076EC"/>
    <w:rsid w:val="00F17A32"/>
    <w:rsid w:val="00F25AA6"/>
    <w:rsid w:val="00F70549"/>
    <w:rsid w:val="00F76061"/>
    <w:rsid w:val="00F837A6"/>
    <w:rsid w:val="00F90A18"/>
    <w:rsid w:val="00F927B0"/>
    <w:rsid w:val="00F92ACA"/>
    <w:rsid w:val="00FC2B0F"/>
    <w:rsid w:val="00FE0332"/>
    <w:rsid w:val="00FF2500"/>
    <w:rsid w:val="00FF5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83349"/>
  <w15:chartTrackingRefBased/>
  <w15:docId w15:val="{2A25B301-7960-48A0-8FA5-91308C6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CF"/>
    <w:pPr>
      <w:spacing w:after="120" w:line="280" w:lineRule="atLeast"/>
    </w:pPr>
    <w:rPr>
      <w:rFonts w:ascii="Arial" w:hAnsi="Arial"/>
      <w:sz w:val="20"/>
      <w:lang w:val="en-GB"/>
    </w:rPr>
  </w:style>
  <w:style w:type="paragraph" w:styleId="Heading1">
    <w:name w:val="heading 1"/>
    <w:basedOn w:val="Normal"/>
    <w:next w:val="Normal"/>
    <w:link w:val="Heading1Char"/>
    <w:uiPriority w:val="9"/>
    <w:qFormat/>
    <w:rsid w:val="00692A7F"/>
    <w:pPr>
      <w:keepNext/>
      <w:keepLines/>
      <w:numPr>
        <w:numId w:val="14"/>
      </w:numPr>
      <w:spacing w:before="480" w:after="48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692A7F"/>
    <w:pPr>
      <w:keepNext/>
      <w:keepLines/>
      <w:spacing w:before="240"/>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692A7F"/>
    <w:pPr>
      <w:keepNext/>
      <w:keepLines/>
      <w:spacing w:before="240"/>
      <w:ind w:left="851" w:hanging="851"/>
      <w:outlineLvl w:val="2"/>
    </w:pPr>
    <w:rPr>
      <w:rFonts w:eastAsiaTheme="majorEastAsia" w:cstheme="majorBidi"/>
      <w:b/>
      <w:color w:val="0090B9"/>
      <w:sz w:val="22"/>
    </w:rPr>
  </w:style>
  <w:style w:type="paragraph" w:styleId="Heading4">
    <w:name w:val="heading 4"/>
    <w:basedOn w:val="Normal"/>
    <w:next w:val="Normal"/>
    <w:link w:val="Heading4Char"/>
    <w:uiPriority w:val="9"/>
    <w:unhideWhenUsed/>
    <w:qFormat/>
    <w:rsid w:val="00946D9E"/>
    <w:pPr>
      <w:keepNext/>
      <w:keepLines/>
      <w:numPr>
        <w:ilvl w:val="3"/>
        <w:numId w:val="14"/>
      </w:numPr>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2D7AB7"/>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A7F"/>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692A7F"/>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692A7F"/>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ormal"/>
    <w:qFormat/>
    <w:rsid w:val="001B7750"/>
    <w:pPr>
      <w:numPr>
        <w:numId w:val="3"/>
      </w:numPr>
      <w:ind w:left="568" w:hanging="284"/>
    </w:pPr>
    <w:rPr>
      <w:lang w:val="en-AU"/>
    </w:rPr>
  </w:style>
  <w:style w:type="character" w:customStyle="1" w:styleId="Heading4Char">
    <w:name w:val="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4"/>
      </w:numPr>
    </w:pPr>
  </w:style>
  <w:style w:type="numbering" w:customStyle="1" w:styleId="CurrentList2">
    <w:name w:val="Current List2"/>
    <w:uiPriority w:val="99"/>
    <w:rsid w:val="00936F1D"/>
    <w:pPr>
      <w:numPr>
        <w:numId w:val="5"/>
      </w:numPr>
    </w:pPr>
  </w:style>
  <w:style w:type="numbering" w:customStyle="1" w:styleId="CurrentList3">
    <w:name w:val="Current List3"/>
    <w:uiPriority w:val="99"/>
    <w:rsid w:val="00936F1D"/>
    <w:pPr>
      <w:numPr>
        <w:numId w:val="6"/>
      </w:numPr>
    </w:pPr>
  </w:style>
  <w:style w:type="numbering" w:customStyle="1" w:styleId="CurrentList4">
    <w:name w:val="Current List4"/>
    <w:uiPriority w:val="99"/>
    <w:rsid w:val="00936F1D"/>
    <w:pPr>
      <w:numPr>
        <w:numId w:val="7"/>
      </w:numPr>
    </w:pPr>
  </w:style>
  <w:style w:type="numbering" w:customStyle="1" w:styleId="CurrentList5">
    <w:name w:val="Current List5"/>
    <w:uiPriority w:val="99"/>
    <w:rsid w:val="00936F1D"/>
    <w:pPr>
      <w:numPr>
        <w:numId w:val="8"/>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alphabetL2">
    <w:name w:val="List - alphabet L2"/>
    <w:basedOn w:val="Normal"/>
    <w:qFormat/>
    <w:rsid w:val="001B7750"/>
    <w:pPr>
      <w:numPr>
        <w:numId w:val="12"/>
      </w:numPr>
    </w:pPr>
    <w:rPr>
      <w:lang w:val="en-AU"/>
    </w:rPr>
  </w:style>
  <w:style w:type="paragraph" w:customStyle="1" w:styleId="List-romannumberL3">
    <w:name w:val="List - roman number L3"/>
    <w:basedOn w:val="List-alphabetL2"/>
    <w:qFormat/>
    <w:rsid w:val="00C109BB"/>
    <w:pPr>
      <w:numPr>
        <w:numId w:val="9"/>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customStyle="1" w:styleId="CurrentList6">
    <w:name w:val="Current List6"/>
    <w:uiPriority w:val="99"/>
    <w:rsid w:val="009F7DD6"/>
    <w:pPr>
      <w:numPr>
        <w:numId w:val="10"/>
      </w:numPr>
    </w:pPr>
  </w:style>
  <w:style w:type="numbering" w:customStyle="1" w:styleId="CurrentList7">
    <w:name w:val="Current List7"/>
    <w:uiPriority w:val="99"/>
    <w:rsid w:val="00F90A18"/>
    <w:pPr>
      <w:numPr>
        <w:numId w:val="11"/>
      </w:numPr>
    </w:pPr>
  </w:style>
  <w:style w:type="numbering" w:customStyle="1" w:styleId="CurrentList8">
    <w:name w:val="Current List8"/>
    <w:uiPriority w:val="99"/>
    <w:rsid w:val="00F90A18"/>
    <w:pPr>
      <w:numPr>
        <w:numId w:val="13"/>
      </w:numPr>
    </w:pPr>
  </w:style>
  <w:style w:type="paragraph" w:styleId="TOC3">
    <w:name w:val="toc 3"/>
    <w:basedOn w:val="Normal"/>
    <w:next w:val="Normal"/>
    <w:autoRedefine/>
    <w:uiPriority w:val="39"/>
    <w:unhideWhenUsed/>
    <w:rsid w:val="00D41FDD"/>
    <w:pPr>
      <w:tabs>
        <w:tab w:val="left" w:pos="1418"/>
        <w:tab w:val="right" w:leader="dot" w:pos="10206"/>
      </w:tabs>
      <w:spacing w:after="0"/>
      <w:ind w:left="851"/>
    </w:pPr>
  </w:style>
  <w:style w:type="table" w:styleId="TableGridLight">
    <w:name w:val="Grid Table Light"/>
    <w:basedOn w:val="TableNormal"/>
    <w:uiPriority w:val="40"/>
    <w:rsid w:val="00D42507"/>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rPr>
        <w:b/>
        <w:color w:val="FFFFFF" w:themeColor="background1"/>
      </w:rPr>
      <w:tblPr/>
      <w:tcPr>
        <w:shd w:val="clear" w:color="auto" w:fill="0090B9"/>
        <w:tcMar>
          <w:top w:w="57" w:type="dxa"/>
          <w:left w:w="108" w:type="dxa"/>
          <w:bottom w:w="57" w:type="dxa"/>
          <w:right w:w="108" w:type="dxa"/>
        </w:tcMar>
      </w:tcPr>
    </w:tblStylePr>
  </w:style>
  <w:style w:type="paragraph" w:customStyle="1" w:styleId="TOCHeading1">
    <w:name w:val="TOC Heading1"/>
    <w:basedOn w:val="Heading1"/>
    <w:qFormat/>
    <w:rsid w:val="00CD69BF"/>
    <w:pPr>
      <w:numPr>
        <w:numId w:val="0"/>
      </w:numPr>
    </w:pPr>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5"/>
      </w:numPr>
    </w:pPr>
  </w:style>
  <w:style w:type="numbering" w:customStyle="1" w:styleId="CurrentList10">
    <w:name w:val="Current List10"/>
    <w:uiPriority w:val="99"/>
    <w:rsid w:val="00CD69BF"/>
    <w:pPr>
      <w:numPr>
        <w:numId w:val="16"/>
      </w:numPr>
    </w:pPr>
  </w:style>
  <w:style w:type="numbering" w:customStyle="1" w:styleId="CurrentList11">
    <w:name w:val="Current List11"/>
    <w:uiPriority w:val="99"/>
    <w:rsid w:val="002D7AB7"/>
    <w:pPr>
      <w:numPr>
        <w:numId w:val="17"/>
      </w:numPr>
    </w:pPr>
  </w:style>
  <w:style w:type="numbering" w:customStyle="1" w:styleId="CurrentList12">
    <w:name w:val="Current List12"/>
    <w:uiPriority w:val="99"/>
    <w:rsid w:val="002D7AB7"/>
    <w:pPr>
      <w:numPr>
        <w:numId w:val="18"/>
      </w:numPr>
    </w:pPr>
  </w:style>
  <w:style w:type="numbering" w:customStyle="1" w:styleId="CurrentList13">
    <w:name w:val="Current List13"/>
    <w:uiPriority w:val="99"/>
    <w:rsid w:val="002D7AB7"/>
    <w:pPr>
      <w:numPr>
        <w:numId w:val="19"/>
      </w:numPr>
    </w:pPr>
  </w:style>
  <w:style w:type="paragraph" w:customStyle="1" w:styleId="AppendixHeading1">
    <w:name w:val="Appendix Heading 1"/>
    <w:next w:val="Normal"/>
    <w:rsid w:val="00E25F9F"/>
    <w:pPr>
      <w:keepNext/>
      <w:pageBreakBefore/>
      <w:numPr>
        <w:numId w:val="20"/>
      </w:numPr>
      <w:tabs>
        <w:tab w:val="clear" w:pos="1440"/>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1"/>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BodyText-NumberedListi">
    <w:name w:val="Body Text - Numbered List i"/>
    <w:link w:val="BodyText-NumberedListiChar"/>
    <w:rsid w:val="00B40731"/>
    <w:pPr>
      <w:numPr>
        <w:ilvl w:val="2"/>
        <w:numId w:val="22"/>
      </w:numPr>
      <w:spacing w:before="60" w:after="120"/>
      <w:jc w:val="both"/>
    </w:pPr>
    <w:rPr>
      <w:rFonts w:ascii="Arial" w:eastAsia="Times" w:hAnsi="Arial" w:cs="Arial"/>
      <w:sz w:val="20"/>
      <w:szCs w:val="20"/>
    </w:rPr>
  </w:style>
  <w:style w:type="paragraph" w:customStyle="1" w:styleId="BodyText-NumberedList1">
    <w:name w:val="Body Text - Numbered List 1"/>
    <w:basedOn w:val="BodyText-NumberedLista"/>
    <w:rsid w:val="00B40731"/>
    <w:pPr>
      <w:numPr>
        <w:ilvl w:val="0"/>
      </w:numPr>
      <w:tabs>
        <w:tab w:val="clear" w:pos="567"/>
        <w:tab w:val="num" w:pos="1440"/>
      </w:tabs>
      <w:ind w:left="1134" w:hanging="1134"/>
    </w:pPr>
  </w:style>
  <w:style w:type="paragraph" w:customStyle="1" w:styleId="BodyText-NumberedLista">
    <w:name w:val="Body Text - Numbered List a"/>
    <w:link w:val="BodyText-NumberedListaCharChar"/>
    <w:rsid w:val="00B40731"/>
    <w:pPr>
      <w:numPr>
        <w:ilvl w:val="1"/>
        <w:numId w:val="22"/>
      </w:numPr>
      <w:spacing w:before="60" w:after="120"/>
      <w:jc w:val="both"/>
    </w:pPr>
    <w:rPr>
      <w:rFonts w:ascii="Arial" w:eastAsia="Times New Roman" w:hAnsi="Arial" w:cs="Arial"/>
      <w:sz w:val="20"/>
      <w:szCs w:val="20"/>
    </w:rPr>
  </w:style>
  <w:style w:type="paragraph" w:customStyle="1" w:styleId="TableText-ListIndent">
    <w:name w:val="Table Text - List Indent"/>
    <w:rsid w:val="00B40731"/>
    <w:pPr>
      <w:tabs>
        <w:tab w:val="num" w:pos="284"/>
      </w:tabs>
      <w:spacing w:before="60" w:after="60"/>
      <w:ind w:left="284" w:hanging="142"/>
    </w:pPr>
    <w:rPr>
      <w:rFonts w:ascii="Arial" w:eastAsia="Times" w:hAnsi="Arial" w:cs="Arial"/>
      <w:sz w:val="18"/>
      <w:szCs w:val="18"/>
    </w:rPr>
  </w:style>
  <w:style w:type="character" w:customStyle="1" w:styleId="BodyText-NumberedListaCharChar">
    <w:name w:val="Body Text - Numbered List a Char Char"/>
    <w:link w:val="BodyText-NumberedLista"/>
    <w:rsid w:val="00B40731"/>
    <w:rPr>
      <w:rFonts w:ascii="Arial" w:eastAsia="Times New Roman" w:hAnsi="Arial" w:cs="Arial"/>
      <w:sz w:val="20"/>
      <w:szCs w:val="20"/>
    </w:rPr>
  </w:style>
  <w:style w:type="character" w:customStyle="1" w:styleId="BodyText-NumberedListiChar">
    <w:name w:val="Body Text - Numbered List i Char"/>
    <w:link w:val="BodyText-NumberedListi"/>
    <w:rsid w:val="00B40731"/>
    <w:rPr>
      <w:rFonts w:ascii="Arial" w:eastAsia="Times" w:hAnsi="Arial" w:cs="Arial"/>
      <w:sz w:val="20"/>
      <w:szCs w:val="20"/>
    </w:rPr>
  </w:style>
  <w:style w:type="paragraph" w:customStyle="1" w:styleId="Numberedlist1">
    <w:name w:val="Numbered list 1"/>
    <w:basedOn w:val="BodyText-NumberedList1"/>
    <w:autoRedefine/>
    <w:qFormat/>
    <w:rsid w:val="00B3760E"/>
    <w:pPr>
      <w:numPr>
        <w:numId w:val="23"/>
      </w:numPr>
      <w:spacing w:before="120"/>
    </w:pPr>
  </w:style>
  <w:style w:type="paragraph" w:customStyle="1" w:styleId="NumberedList11">
    <w:name w:val="Numbered List 1.1."/>
    <w:basedOn w:val="BodyText-NumberedLista"/>
    <w:autoRedefine/>
    <w:qFormat/>
    <w:rsid w:val="00B3760E"/>
    <w:pPr>
      <w:numPr>
        <w:numId w:val="26"/>
      </w:numPr>
      <w:spacing w:before="0"/>
    </w:pPr>
  </w:style>
  <w:style w:type="paragraph" w:customStyle="1" w:styleId="NumberedList111">
    <w:name w:val="Numbered List 1.1.1."/>
    <w:basedOn w:val="BodyText-NumberedListi"/>
    <w:autoRedefine/>
    <w:qFormat/>
    <w:rsid w:val="001B7750"/>
    <w:pPr>
      <w:numPr>
        <w:numId w:val="26"/>
      </w:numPr>
      <w:spacing w:before="120"/>
    </w:pPr>
  </w:style>
  <w:style w:type="paragraph" w:customStyle="1" w:styleId="Heading2-withoutnumber">
    <w:name w:val="Heading 2 - without number"/>
    <w:basedOn w:val="Heading2"/>
    <w:qFormat/>
    <w:rsid w:val="00D41FDD"/>
  </w:style>
  <w:style w:type="numbering" w:customStyle="1" w:styleId="CurrentList14">
    <w:name w:val="Current List14"/>
    <w:uiPriority w:val="99"/>
    <w:rsid w:val="00D41FDD"/>
    <w:pPr>
      <w:numPr>
        <w:numId w:val="24"/>
      </w:numPr>
    </w:pPr>
  </w:style>
  <w:style w:type="paragraph" w:customStyle="1" w:styleId="List-numberL2">
    <w:name w:val="List - number L2"/>
    <w:basedOn w:val="NumberedList11"/>
    <w:qFormat/>
    <w:rsid w:val="001B7750"/>
    <w:pPr>
      <w:numPr>
        <w:ilvl w:val="0"/>
        <w:numId w:val="0"/>
      </w:numPr>
    </w:pPr>
  </w:style>
  <w:style w:type="numbering" w:customStyle="1" w:styleId="CurrentList15">
    <w:name w:val="Current List15"/>
    <w:uiPriority w:val="99"/>
    <w:rsid w:val="00992CAA"/>
    <w:pPr>
      <w:numPr>
        <w:numId w:val="25"/>
      </w:numPr>
    </w:pPr>
  </w:style>
  <w:style w:type="numbering" w:customStyle="1" w:styleId="CurrentList16">
    <w:name w:val="Current List16"/>
    <w:uiPriority w:val="99"/>
    <w:rsid w:val="00992CAA"/>
    <w:pPr>
      <w:numPr>
        <w:numId w:val="27"/>
      </w:numPr>
    </w:pPr>
  </w:style>
  <w:style w:type="numbering" w:customStyle="1" w:styleId="CurrentList17">
    <w:name w:val="Current List17"/>
    <w:uiPriority w:val="99"/>
    <w:rsid w:val="00992CAA"/>
    <w:pPr>
      <w:numPr>
        <w:numId w:val="28"/>
      </w:numPr>
    </w:pPr>
  </w:style>
  <w:style w:type="numbering" w:customStyle="1" w:styleId="CurrentList18">
    <w:name w:val="Current List18"/>
    <w:uiPriority w:val="99"/>
    <w:rsid w:val="00992CAA"/>
    <w:pPr>
      <w:numPr>
        <w:numId w:val="29"/>
      </w:numPr>
    </w:pPr>
  </w:style>
  <w:style w:type="numbering" w:customStyle="1" w:styleId="CurrentList19">
    <w:name w:val="Current List19"/>
    <w:uiPriority w:val="99"/>
    <w:rsid w:val="00992CAA"/>
    <w:pPr>
      <w:numPr>
        <w:numId w:val="30"/>
      </w:numPr>
    </w:pPr>
  </w:style>
  <w:style w:type="numbering" w:customStyle="1" w:styleId="CurrentList20">
    <w:name w:val="Current List20"/>
    <w:uiPriority w:val="99"/>
    <w:rsid w:val="00C109BB"/>
    <w:pPr>
      <w:numPr>
        <w:numId w:val="31"/>
      </w:numPr>
    </w:pPr>
  </w:style>
  <w:style w:type="numbering" w:customStyle="1" w:styleId="CurrentList21">
    <w:name w:val="Current List21"/>
    <w:uiPriority w:val="99"/>
    <w:rsid w:val="00C109BB"/>
    <w:pPr>
      <w:numPr>
        <w:numId w:val="32"/>
      </w:numPr>
    </w:pPr>
  </w:style>
  <w:style w:type="numbering" w:customStyle="1" w:styleId="CurrentList22">
    <w:name w:val="Current List22"/>
    <w:uiPriority w:val="99"/>
    <w:rsid w:val="001B7750"/>
    <w:pPr>
      <w:numPr>
        <w:numId w:val="33"/>
      </w:numPr>
    </w:pPr>
  </w:style>
  <w:style w:type="numbering" w:customStyle="1" w:styleId="CurrentList23">
    <w:name w:val="Current List23"/>
    <w:uiPriority w:val="99"/>
    <w:rsid w:val="001B7750"/>
    <w:pPr>
      <w:numPr>
        <w:numId w:val="34"/>
      </w:numPr>
    </w:pPr>
  </w:style>
  <w:style w:type="numbering" w:customStyle="1" w:styleId="CurrentList24">
    <w:name w:val="Current List24"/>
    <w:uiPriority w:val="99"/>
    <w:rsid w:val="001B7750"/>
    <w:pPr>
      <w:numPr>
        <w:numId w:val="35"/>
      </w:numPr>
    </w:pPr>
  </w:style>
  <w:style w:type="character" w:styleId="IntenseReference">
    <w:name w:val="Intense Reference"/>
    <w:basedOn w:val="DefaultParagraphFont"/>
    <w:uiPriority w:val="32"/>
    <w:qFormat/>
    <w:rsid w:val="002773F3"/>
    <w:rPr>
      <w:b/>
      <w:bCs/>
      <w:smallCaps/>
      <w:color w:val="4472C4" w:themeColor="accent1"/>
      <w:spacing w:val="5"/>
    </w:rPr>
  </w:style>
  <w:style w:type="character" w:styleId="IntenseEmphasis">
    <w:name w:val="Intense Emphasis"/>
    <w:basedOn w:val="DefaultParagraphFont"/>
    <w:uiPriority w:val="21"/>
    <w:qFormat/>
    <w:rsid w:val="002773F3"/>
    <w:rPr>
      <w:i/>
      <w:iCs/>
      <w:color w:val="4472C4" w:themeColor="accent1"/>
    </w:rPr>
  </w:style>
  <w:style w:type="character" w:styleId="FollowedHyperlink">
    <w:name w:val="FollowedHyperlink"/>
    <w:basedOn w:val="DefaultParagraphFont"/>
    <w:uiPriority w:val="99"/>
    <w:semiHidden/>
    <w:unhideWhenUsed/>
    <w:rsid w:val="009C6573"/>
    <w:rPr>
      <w:color w:val="954F72" w:themeColor="followedHyperlink"/>
      <w:u w:val="single"/>
    </w:rPr>
  </w:style>
  <w:style w:type="character" w:styleId="CommentReference">
    <w:name w:val="annotation reference"/>
    <w:basedOn w:val="DefaultParagraphFont"/>
    <w:uiPriority w:val="99"/>
    <w:semiHidden/>
    <w:unhideWhenUsed/>
    <w:rsid w:val="00623F4D"/>
    <w:rPr>
      <w:sz w:val="16"/>
      <w:szCs w:val="16"/>
    </w:rPr>
  </w:style>
  <w:style w:type="paragraph" w:styleId="CommentText">
    <w:name w:val="annotation text"/>
    <w:basedOn w:val="Normal"/>
    <w:link w:val="CommentTextChar"/>
    <w:uiPriority w:val="99"/>
    <w:unhideWhenUsed/>
    <w:rsid w:val="00623F4D"/>
    <w:rPr>
      <w:szCs w:val="20"/>
    </w:rPr>
  </w:style>
  <w:style w:type="character" w:customStyle="1" w:styleId="CommentTextChar">
    <w:name w:val="Comment Text Char"/>
    <w:basedOn w:val="DefaultParagraphFont"/>
    <w:link w:val="CommentText"/>
    <w:uiPriority w:val="99"/>
    <w:rsid w:val="00623F4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23F4D"/>
    <w:rPr>
      <w:b/>
      <w:bCs/>
    </w:rPr>
  </w:style>
  <w:style w:type="character" w:customStyle="1" w:styleId="CommentSubjectChar">
    <w:name w:val="Comment Subject Char"/>
    <w:basedOn w:val="CommentTextChar"/>
    <w:link w:val="CommentSubject"/>
    <w:uiPriority w:val="99"/>
    <w:semiHidden/>
    <w:rsid w:val="00623F4D"/>
    <w:rPr>
      <w:rFonts w:ascii="Arial" w:hAnsi="Arial"/>
      <w:b/>
      <w:bCs/>
      <w:sz w:val="20"/>
      <w:szCs w:val="20"/>
      <w:lang w:val="en-GB"/>
    </w:rPr>
  </w:style>
  <w:style w:type="paragraph" w:styleId="Revision">
    <w:name w:val="Revision"/>
    <w:hidden/>
    <w:uiPriority w:val="99"/>
    <w:semiHidden/>
    <w:rsid w:val="00F837A6"/>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C21485BD62485BBF22A7B07A825041"/>
        <w:category>
          <w:name w:val="General"/>
          <w:gallery w:val="placeholder"/>
        </w:category>
        <w:types>
          <w:type w:val="bbPlcHdr"/>
        </w:types>
        <w:behaviors>
          <w:behavior w:val="content"/>
        </w:behaviors>
        <w:guid w:val="{BF088EFD-40DA-40A3-A126-8A8D9574EE9D}"/>
      </w:docPartPr>
      <w:docPartBody>
        <w:p w:rsidR="00375CB0" w:rsidRDefault="00375CB0">
          <w:pPr>
            <w:pStyle w:val="95C21485BD62485BBF22A7B07A82504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B0"/>
    <w:rsid w:val="000F4A87"/>
    <w:rsid w:val="00136413"/>
    <w:rsid w:val="00182CE8"/>
    <w:rsid w:val="00337B19"/>
    <w:rsid w:val="00375CB0"/>
    <w:rsid w:val="00414DAC"/>
    <w:rsid w:val="00436225"/>
    <w:rsid w:val="00474AC0"/>
    <w:rsid w:val="004860D1"/>
    <w:rsid w:val="0099697B"/>
    <w:rsid w:val="00A66180"/>
    <w:rsid w:val="00F50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C21485BD62485BBF22A7B07A825041">
    <w:name w:val="95C21485BD62485BBF22A7B07A825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Hibberd</dc:creator>
  <cp:keywords/>
  <dc:description/>
  <cp:lastModifiedBy>Emma Gumbleton</cp:lastModifiedBy>
  <cp:revision>2</cp:revision>
  <cp:lastPrinted>2021-12-24T01:16:00Z</cp:lastPrinted>
  <dcterms:created xsi:type="dcterms:W3CDTF">2023-04-18T01:15:00Z</dcterms:created>
  <dcterms:modified xsi:type="dcterms:W3CDTF">2023-04-18T01:15:00Z</dcterms:modified>
</cp:coreProperties>
</file>