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9216" w14:textId="284B13D2" w:rsidR="00DE1002" w:rsidRDefault="005C15A8" w:rsidP="00DE1002">
      <w:pPr>
        <w:pStyle w:val="Heading1"/>
      </w:pPr>
      <w:r>
        <w:t>Keep it clean</w:t>
      </w:r>
    </w:p>
    <w:p w14:paraId="48FA938F" w14:textId="7130F7F0" w:rsidR="005C15A8" w:rsidRPr="005C15A8" w:rsidRDefault="005C15A8" w:rsidP="005C15A8">
      <w:pPr>
        <w:pStyle w:val="Heading2"/>
      </w:pPr>
      <w:r>
        <w:t>Anti-money laundering checklist</w:t>
      </w:r>
    </w:p>
    <w:p w14:paraId="6F2B26C0" w14:textId="41556718" w:rsidR="00670D56" w:rsidRPr="00533DD4" w:rsidRDefault="00670D56" w:rsidP="00670D56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>Working in a gaming venue requires you</w:t>
      </w:r>
      <w:r w:rsidRPr="00533DD4">
        <w:rPr>
          <w:rFonts w:cs="Arial"/>
          <w:szCs w:val="20"/>
        </w:rPr>
        <w:t xml:space="preserve"> to be alert to the possibility of money laundering</w:t>
      </w:r>
      <w:r>
        <w:rPr>
          <w:rFonts w:cs="Arial"/>
          <w:szCs w:val="20"/>
        </w:rPr>
        <w:t xml:space="preserve">. This includes understand what </w:t>
      </w:r>
      <w:proofErr w:type="gramStart"/>
      <w:r>
        <w:rPr>
          <w:rFonts w:cs="Arial"/>
          <w:szCs w:val="20"/>
        </w:rPr>
        <w:t>are the key</w:t>
      </w:r>
      <w:r w:rsidRPr="00533DD4">
        <w:rPr>
          <w:rFonts w:cs="Arial"/>
          <w:szCs w:val="20"/>
        </w:rPr>
        <w:t xml:space="preserve"> warning signs</w:t>
      </w:r>
      <w:proofErr w:type="gramEnd"/>
      <w:r>
        <w:rPr>
          <w:rFonts w:cs="Arial"/>
          <w:szCs w:val="20"/>
        </w:rPr>
        <w:t>,</w:t>
      </w:r>
      <w:r w:rsidRPr="00533DD4">
        <w:rPr>
          <w:rFonts w:cs="Arial"/>
          <w:szCs w:val="20"/>
        </w:rPr>
        <w:t xml:space="preserve"> and what </w:t>
      </w:r>
      <w:r>
        <w:rPr>
          <w:rFonts w:cs="Arial"/>
          <w:szCs w:val="20"/>
        </w:rPr>
        <w:t xml:space="preserve">to </w:t>
      </w:r>
      <w:r w:rsidRPr="00533DD4">
        <w:rPr>
          <w:rFonts w:cs="Arial"/>
          <w:szCs w:val="20"/>
        </w:rPr>
        <w:t xml:space="preserve">do if you </w:t>
      </w:r>
      <w:r>
        <w:rPr>
          <w:rFonts w:cs="Arial"/>
          <w:szCs w:val="20"/>
        </w:rPr>
        <w:t>detect any warning signs of money laundering in your venue.</w:t>
      </w:r>
    </w:p>
    <w:p w14:paraId="657A8A82" w14:textId="77777777" w:rsidR="00670D56" w:rsidRDefault="00670D56" w:rsidP="00670D56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 xml:space="preserve">All gaming venue staff must act honestly, cooperate with the </w:t>
      </w:r>
      <w:proofErr w:type="gramStart"/>
      <w:r>
        <w:rPr>
          <w:rFonts w:cs="Arial"/>
          <w:szCs w:val="20"/>
        </w:rPr>
        <w:t>VGCCC</w:t>
      </w:r>
      <w:proofErr w:type="gramEnd"/>
      <w:r>
        <w:rPr>
          <w:rFonts w:cs="Arial"/>
          <w:szCs w:val="20"/>
        </w:rPr>
        <w:t xml:space="preserve"> and actively prevent criminal influence or exploitation, including money laundering, while working in a gaming venue. </w:t>
      </w:r>
    </w:p>
    <w:p w14:paraId="292099AF" w14:textId="77777777" w:rsidR="00670D56" w:rsidRDefault="00670D56" w:rsidP="00670D56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>The following checklist will help you in assess if you are ready to detect and report money laundering in your gaming venue.</w:t>
      </w:r>
    </w:p>
    <w:p w14:paraId="62B49D19" w14:textId="77777777" w:rsidR="00670D56" w:rsidRDefault="00670D56" w:rsidP="00670D56">
      <w:pPr>
        <w:ind w:right="-613"/>
        <w:rPr>
          <w:rFonts w:cs="Arial"/>
          <w:szCs w:val="20"/>
        </w:rPr>
      </w:pPr>
      <w:r w:rsidRPr="00533DD4">
        <w:rPr>
          <w:rFonts w:cs="Arial"/>
          <w:szCs w:val="20"/>
        </w:rPr>
        <w:t xml:space="preserve">Complete this checklist and </w:t>
      </w:r>
      <w:r>
        <w:rPr>
          <w:rFonts w:cs="Arial"/>
          <w:szCs w:val="20"/>
        </w:rPr>
        <w:t xml:space="preserve">act on your </w:t>
      </w:r>
      <w:r w:rsidRPr="00533DD4">
        <w:rPr>
          <w:rFonts w:cs="Arial"/>
          <w:szCs w:val="20"/>
        </w:rPr>
        <w:t>anti-money laundering and counter terrorism financing (</w:t>
      </w:r>
      <w:r>
        <w:rPr>
          <w:rFonts w:cs="Arial"/>
          <w:szCs w:val="20"/>
        </w:rPr>
        <w:t>AML/</w:t>
      </w:r>
      <w:r w:rsidRPr="00533DD4">
        <w:rPr>
          <w:rFonts w:cs="Arial"/>
          <w:szCs w:val="20"/>
        </w:rPr>
        <w:t>CTF) obligations.</w:t>
      </w:r>
      <w:r>
        <w:rPr>
          <w:rFonts w:cs="Arial"/>
          <w:szCs w:val="20"/>
        </w:rPr>
        <w:t xml:space="preserve"> </w:t>
      </w:r>
    </w:p>
    <w:p w14:paraId="26174810" w14:textId="45FBAFB5" w:rsidR="000B1D5A" w:rsidRPr="00A90B16" w:rsidRDefault="00670D56" w:rsidP="00670D56">
      <w:r>
        <w:rPr>
          <w:rFonts w:cs="Arial"/>
          <w:szCs w:val="20"/>
        </w:rPr>
        <w:t xml:space="preserve">Read and display the </w:t>
      </w:r>
      <w:hyperlink r:id="rId7" w:history="1">
        <w:r>
          <w:rPr>
            <w:rStyle w:val="Hyperlink"/>
            <w:rFonts w:cs="Arial"/>
            <w:szCs w:val="20"/>
          </w:rPr>
          <w:t xml:space="preserve">Keep it </w:t>
        </w:r>
        <w:proofErr w:type="gramStart"/>
        <w:r>
          <w:rPr>
            <w:rStyle w:val="Hyperlink"/>
            <w:rFonts w:cs="Arial"/>
            <w:szCs w:val="20"/>
          </w:rPr>
          <w:t>Clean</w:t>
        </w:r>
        <w:proofErr w:type="gramEnd"/>
        <w:r>
          <w:rPr>
            <w:rStyle w:val="Hyperlink"/>
            <w:rFonts w:cs="Arial"/>
            <w:szCs w:val="20"/>
          </w:rPr>
          <w:t xml:space="preserve"> poster</w:t>
        </w:r>
      </w:hyperlink>
      <w:r>
        <w:rPr>
          <w:rStyle w:val="Hyperlink"/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 your staff area.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04"/>
        <w:gridCol w:w="1347"/>
        <w:gridCol w:w="3390"/>
      </w:tblGrid>
      <w:tr w:rsidR="00DE1002" w14:paraId="21F21564" w14:textId="77777777" w:rsidTr="0034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3464E1" w14:textId="7ABCAA8E" w:rsidR="00DE1002" w:rsidRPr="00C67AD6" w:rsidRDefault="00F974B1" w:rsidP="00347739">
            <w:pPr>
              <w:pStyle w:val="Tableheaderwhite"/>
              <w:rPr>
                <w:b/>
                <w:bCs/>
              </w:rPr>
            </w:pPr>
            <w:r>
              <w:rPr>
                <w:b/>
                <w:bCs/>
              </w:rPr>
              <w:t>AML basics</w:t>
            </w:r>
          </w:p>
        </w:tc>
        <w:tc>
          <w:tcPr>
            <w:tcW w:w="1204" w:type="dxa"/>
          </w:tcPr>
          <w:p w14:paraId="030EE821" w14:textId="77777777" w:rsidR="00DE1002" w:rsidRPr="00C67AD6" w:rsidRDefault="00DE1002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347" w:type="dxa"/>
          </w:tcPr>
          <w:p w14:paraId="6DEBEC0A" w14:textId="33B328B3" w:rsidR="00DE1002" w:rsidRPr="00C67AD6" w:rsidRDefault="00F974B1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390" w:type="dxa"/>
          </w:tcPr>
          <w:p w14:paraId="0ECB225D" w14:textId="7EEF1869" w:rsidR="00DE1002" w:rsidRPr="00C67AD6" w:rsidRDefault="00F974B1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670D56" w14:paraId="6223E586" w14:textId="77777777" w:rsidTr="0003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F2B5B5E" w14:textId="6A2C595E" w:rsidR="00670D56" w:rsidRPr="00D3029C" w:rsidRDefault="00670D56" w:rsidP="00670D56">
            <w:r w:rsidRPr="00533DD4">
              <w:rPr>
                <w:rFonts w:cs="Arial"/>
                <w:szCs w:val="20"/>
              </w:rPr>
              <w:t xml:space="preserve">I know what money laundering and terrorism financing </w:t>
            </w:r>
            <w:r>
              <w:rPr>
                <w:rFonts w:cs="Arial"/>
                <w:szCs w:val="20"/>
              </w:rPr>
              <w:t xml:space="preserve">(ML/TF) </w:t>
            </w:r>
            <w:r w:rsidRPr="00533DD4">
              <w:rPr>
                <w:rFonts w:cs="Arial"/>
                <w:szCs w:val="20"/>
              </w:rPr>
              <w:t>are</w:t>
            </w:r>
          </w:p>
        </w:tc>
        <w:tc>
          <w:tcPr>
            <w:tcW w:w="1204" w:type="dxa"/>
          </w:tcPr>
          <w:p w14:paraId="1D5D0E46" w14:textId="77777777" w:rsidR="00670D56" w:rsidRPr="00E76DBC" w:rsidRDefault="00670D56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15132654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36378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15F96734" w14:textId="77777777" w:rsidR="00670D56" w:rsidRPr="007606F5" w:rsidRDefault="00670D56" w:rsidP="00670D5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378AC7E8" w14:textId="401A5E59" w:rsidR="00670D56" w:rsidRPr="00027E98" w:rsidRDefault="00670D56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Ensure you’re up to date with your AML/CTF risk awareness training. You are required to complete this as part of your gaming venue’s </w:t>
            </w:r>
            <w:r w:rsidRPr="00B52C1C">
              <w:rPr>
                <w:rFonts w:cs="Arial"/>
                <w:szCs w:val="20"/>
              </w:rPr>
              <w:t>AML/CTF program</w:t>
            </w:r>
          </w:p>
        </w:tc>
      </w:tr>
      <w:tr w:rsidR="00670D56" w14:paraId="56B2FF32" w14:textId="77777777" w:rsidTr="0003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6292225" w14:textId="7A7FD014" w:rsidR="00670D56" w:rsidRPr="00D3029C" w:rsidRDefault="00670D56" w:rsidP="00670D56">
            <w:r w:rsidRPr="00533DD4">
              <w:rPr>
                <w:rFonts w:cs="Arial"/>
                <w:szCs w:val="20"/>
              </w:rPr>
              <w:t xml:space="preserve">I understand the harm of </w:t>
            </w:r>
            <w:r>
              <w:rPr>
                <w:rFonts w:cs="Arial"/>
                <w:szCs w:val="20"/>
              </w:rPr>
              <w:t>ML/TF</w:t>
            </w:r>
            <w:r w:rsidRPr="00533DD4">
              <w:rPr>
                <w:rFonts w:cs="Arial"/>
                <w:szCs w:val="20"/>
              </w:rPr>
              <w:t>, and why it is important to prevent these activities</w:t>
            </w:r>
          </w:p>
        </w:tc>
        <w:tc>
          <w:tcPr>
            <w:tcW w:w="1204" w:type="dxa"/>
          </w:tcPr>
          <w:p w14:paraId="430F9E76" w14:textId="77777777" w:rsidR="00670D56" w:rsidRPr="00E76DBC" w:rsidRDefault="00670D56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1406747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5174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493EF779" w14:textId="77777777" w:rsidR="00670D56" w:rsidRPr="007606F5" w:rsidRDefault="00670D56" w:rsidP="00670D5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0FA8B84C" w14:textId="1EDAA866" w:rsidR="00670D56" w:rsidRPr="00027E98" w:rsidRDefault="00670D56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Ensure you’re up to date with your AML/CTF risk awareness training. You are required to complete this as part of your gaming venue’s </w:t>
            </w:r>
            <w:r w:rsidRPr="00B52C1C">
              <w:rPr>
                <w:rFonts w:cs="Arial"/>
                <w:szCs w:val="20"/>
              </w:rPr>
              <w:t>AML/CTF program</w:t>
            </w:r>
          </w:p>
        </w:tc>
      </w:tr>
      <w:tr w:rsidR="00670D56" w14:paraId="4CE1DEB2" w14:textId="77777777" w:rsidTr="000A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BF4F4DC" w14:textId="0C1A101A" w:rsidR="00670D56" w:rsidRPr="00D3029C" w:rsidRDefault="00670D56" w:rsidP="00670D56">
            <w:r w:rsidRPr="00533DD4">
              <w:rPr>
                <w:rFonts w:cs="Arial"/>
                <w:szCs w:val="20"/>
              </w:rPr>
              <w:t xml:space="preserve">I know who the AML/CTF compliance officer is at my </w:t>
            </w:r>
            <w:r>
              <w:rPr>
                <w:rFonts w:cs="Arial"/>
                <w:szCs w:val="20"/>
              </w:rPr>
              <w:t xml:space="preserve">gaming </w:t>
            </w:r>
            <w:r w:rsidRPr="00533DD4">
              <w:rPr>
                <w:rFonts w:cs="Arial"/>
                <w:szCs w:val="20"/>
              </w:rPr>
              <w:t>venue</w:t>
            </w:r>
          </w:p>
        </w:tc>
        <w:tc>
          <w:tcPr>
            <w:tcW w:w="1204" w:type="dxa"/>
          </w:tcPr>
          <w:p w14:paraId="6F6271A3" w14:textId="77777777" w:rsidR="00670D56" w:rsidRPr="00E76DBC" w:rsidRDefault="00670D56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43319630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969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2EAE72A0" w14:textId="77777777" w:rsidR="00670D56" w:rsidRPr="007606F5" w:rsidRDefault="00670D56" w:rsidP="00670D5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10B00CA5" w14:textId="0EDF7239" w:rsidR="00670D56" w:rsidRDefault="00670D56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C71">
              <w:rPr>
                <w:rFonts w:cs="Arial"/>
                <w:bCs/>
                <w:szCs w:val="20"/>
              </w:rPr>
              <w:t xml:space="preserve">Ask your manager who the </w:t>
            </w:r>
            <w:r>
              <w:rPr>
                <w:rFonts w:cs="Arial"/>
                <w:bCs/>
                <w:szCs w:val="20"/>
              </w:rPr>
              <w:t xml:space="preserve">AML/CTF </w:t>
            </w:r>
            <w:r w:rsidRPr="004E2C71">
              <w:rPr>
                <w:rFonts w:cs="Arial"/>
                <w:bCs/>
                <w:szCs w:val="20"/>
              </w:rPr>
              <w:t>compliance officer is</w:t>
            </w:r>
            <w:r>
              <w:rPr>
                <w:rFonts w:cs="Arial"/>
                <w:bCs/>
                <w:szCs w:val="20"/>
              </w:rPr>
              <w:t xml:space="preserve">, ensure you know how to contact them to escalate any </w:t>
            </w:r>
            <w:proofErr w:type="gramStart"/>
            <w:r>
              <w:rPr>
                <w:rFonts w:cs="Arial"/>
                <w:bCs/>
                <w:szCs w:val="20"/>
              </w:rPr>
              <w:t>concerns..</w:t>
            </w:r>
            <w:proofErr w:type="gramEnd"/>
          </w:p>
        </w:tc>
      </w:tr>
      <w:tr w:rsidR="00670D56" w14:paraId="1525AF70" w14:textId="77777777" w:rsidTr="000A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0293AD1" w14:textId="1846F24B" w:rsidR="00670D56" w:rsidRPr="00D3029C" w:rsidRDefault="00670D56" w:rsidP="00670D56">
            <w:r>
              <w:rPr>
                <w:rFonts w:cs="Arial"/>
                <w:szCs w:val="20"/>
              </w:rPr>
              <w:t>I understand the key</w:t>
            </w:r>
            <w:r w:rsidRPr="00533DD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ML/TF </w:t>
            </w:r>
            <w:r w:rsidRPr="00533DD4">
              <w:rPr>
                <w:rFonts w:cs="Arial"/>
                <w:szCs w:val="20"/>
              </w:rPr>
              <w:t>risk</w:t>
            </w:r>
            <w:r>
              <w:rPr>
                <w:rFonts w:cs="Arial"/>
                <w:szCs w:val="20"/>
              </w:rPr>
              <w:t xml:space="preserve">s </w:t>
            </w:r>
            <w:r w:rsidRPr="00533DD4">
              <w:rPr>
                <w:rFonts w:cs="Arial"/>
                <w:szCs w:val="20"/>
              </w:rPr>
              <w:t xml:space="preserve">at our </w:t>
            </w:r>
            <w:r>
              <w:rPr>
                <w:rFonts w:cs="Arial"/>
                <w:szCs w:val="20"/>
              </w:rPr>
              <w:t xml:space="preserve">gaming </w:t>
            </w:r>
            <w:r w:rsidRPr="00533DD4">
              <w:rPr>
                <w:rFonts w:cs="Arial"/>
                <w:szCs w:val="20"/>
              </w:rPr>
              <w:t>venue</w:t>
            </w:r>
            <w:r>
              <w:rPr>
                <w:rFonts w:cs="Arial"/>
                <w:szCs w:val="20"/>
              </w:rPr>
              <w:t>, and how someone may launder money through our electronic gaming machines</w:t>
            </w:r>
          </w:p>
        </w:tc>
        <w:tc>
          <w:tcPr>
            <w:tcW w:w="1204" w:type="dxa"/>
          </w:tcPr>
          <w:p w14:paraId="18C229D6" w14:textId="77777777" w:rsidR="00670D56" w:rsidRPr="00E76DBC" w:rsidRDefault="00670D56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5871974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16197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6BCBBC46" w14:textId="77777777" w:rsidR="00670D56" w:rsidRPr="007606F5" w:rsidRDefault="00670D56" w:rsidP="00670D5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3D7A3A91" w14:textId="4A8E90C6" w:rsidR="00670D56" w:rsidRDefault="00670D56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Read page 25 of the </w:t>
            </w:r>
            <w:hyperlink r:id="rId8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  <w:r>
              <w:rPr>
                <w:rFonts w:cs="Arial"/>
                <w:szCs w:val="20"/>
              </w:rPr>
              <w:t xml:space="preserve"> ‘possible indicators of suspicious activity for pubs and clubs’, and any additional ML/TF risks your venue has identified. </w:t>
            </w:r>
          </w:p>
        </w:tc>
      </w:tr>
    </w:tbl>
    <w:p w14:paraId="319A14C9" w14:textId="77777777" w:rsidR="00AB3CF7" w:rsidRDefault="00AB3CF7" w:rsidP="00DE1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29"/>
        <w:gridCol w:w="1422"/>
        <w:gridCol w:w="3390"/>
      </w:tblGrid>
      <w:tr w:rsidR="00CD472D" w14:paraId="39788E37" w14:textId="77777777" w:rsidTr="0034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1C26FA" w14:textId="4A40F497" w:rsidR="00CD472D" w:rsidRPr="00C67AD6" w:rsidRDefault="00CD472D" w:rsidP="00CD472D">
            <w:pPr>
              <w:pStyle w:val="Tableheaderwhite"/>
              <w:rPr>
                <w:b/>
                <w:bCs/>
              </w:rPr>
            </w:pPr>
            <w:r>
              <w:rPr>
                <w:b/>
                <w:bCs/>
              </w:rPr>
              <w:t>Patron behaviour</w:t>
            </w:r>
          </w:p>
        </w:tc>
        <w:tc>
          <w:tcPr>
            <w:tcW w:w="1129" w:type="dxa"/>
          </w:tcPr>
          <w:p w14:paraId="76103B5B" w14:textId="77777777" w:rsidR="00CD472D" w:rsidRPr="00C67AD6" w:rsidRDefault="00CD472D" w:rsidP="00CD472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22" w:type="dxa"/>
          </w:tcPr>
          <w:p w14:paraId="67C1F9AF" w14:textId="241DD1A5" w:rsidR="00CD472D" w:rsidRPr="00C67AD6" w:rsidRDefault="00CD472D" w:rsidP="00CD472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390" w:type="dxa"/>
          </w:tcPr>
          <w:p w14:paraId="17949082" w14:textId="53D8C9B2" w:rsidR="00CD472D" w:rsidRPr="00C67AD6" w:rsidRDefault="00CD472D" w:rsidP="00CD472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3E3DA8" w14:paraId="60ECA866" w14:textId="77777777" w:rsidTr="0007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1952F17" w14:textId="78E644C7" w:rsidR="003E3DA8" w:rsidRPr="008E4634" w:rsidRDefault="00CF7F65" w:rsidP="008E4634">
            <w:r>
              <w:rPr>
                <w:rFonts w:cs="Arial"/>
                <w:szCs w:val="20"/>
              </w:rPr>
              <w:t xml:space="preserve">I am aware of the types of </w:t>
            </w:r>
            <w:proofErr w:type="gramStart"/>
            <w:r>
              <w:rPr>
                <w:rFonts w:cs="Arial"/>
                <w:szCs w:val="20"/>
              </w:rPr>
              <w:t>patron</w:t>
            </w:r>
            <w:proofErr w:type="gramEnd"/>
            <w:r>
              <w:rPr>
                <w:rFonts w:cs="Arial"/>
                <w:szCs w:val="20"/>
              </w:rPr>
              <w:t xml:space="preserve"> and customer behaviour that may be considered suspicious and display the signs of ML/TF, and monitor all people in the gaming venue with this in mind</w:t>
            </w:r>
          </w:p>
        </w:tc>
        <w:tc>
          <w:tcPr>
            <w:tcW w:w="1129" w:type="dxa"/>
          </w:tcPr>
          <w:p w14:paraId="733C5108" w14:textId="77777777" w:rsidR="003E3DA8" w:rsidRPr="00E76DBC" w:rsidRDefault="00414529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  <w:highlight w:val="yellow"/>
              </w:rPr>
            </w:pPr>
            <w:sdt>
              <w:sdtPr>
                <w:rPr>
                  <w:color w:val="4472C4" w:themeColor="accent1"/>
                  <w:sz w:val="24"/>
                </w:rPr>
                <w:id w:val="11788578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E3DA8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5346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</w:tcPr>
              <w:p w14:paraId="6BFD8B47" w14:textId="77777777" w:rsidR="003E3DA8" w:rsidRPr="007606F5" w:rsidRDefault="003E3DA8" w:rsidP="003E3DA8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463B02F1" w14:textId="413EEFF5" w:rsidR="003E3DA8" w:rsidRPr="00EB56CC" w:rsidRDefault="008E4634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Read page 25 of the</w:t>
            </w:r>
            <w:hyperlink r:id="rId9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  <w:r>
              <w:rPr>
                <w:rFonts w:cs="Arial"/>
                <w:szCs w:val="20"/>
              </w:rPr>
              <w:t xml:space="preserve"> and familiarise yourself with suspicious patron behaviours</w:t>
            </w:r>
          </w:p>
        </w:tc>
      </w:tr>
      <w:tr w:rsidR="003E3DA8" w14:paraId="3D313F7B" w14:textId="77777777" w:rsidTr="0007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B3D0582" w14:textId="5297C7D4" w:rsidR="003E3DA8" w:rsidRPr="008E4634" w:rsidRDefault="00CF7F65" w:rsidP="008E4634">
            <w:r w:rsidRPr="00533DD4">
              <w:rPr>
                <w:rFonts w:cs="Arial"/>
                <w:szCs w:val="20"/>
              </w:rPr>
              <w:t xml:space="preserve">I actively observe </w:t>
            </w:r>
            <w:r>
              <w:rPr>
                <w:rFonts w:cs="Arial"/>
                <w:szCs w:val="20"/>
              </w:rPr>
              <w:t>people</w:t>
            </w:r>
            <w:r w:rsidRPr="00533DD4">
              <w:rPr>
                <w:rFonts w:cs="Arial"/>
                <w:szCs w:val="20"/>
              </w:rPr>
              <w:t xml:space="preserve"> loitering without playing, </w:t>
            </w:r>
            <w:r>
              <w:rPr>
                <w:rFonts w:cs="Arial"/>
                <w:szCs w:val="20"/>
              </w:rPr>
              <w:t xml:space="preserve">exchanging large </w:t>
            </w:r>
            <w:r>
              <w:rPr>
                <w:rFonts w:cs="Arial"/>
                <w:szCs w:val="20"/>
              </w:rPr>
              <w:lastRenderedPageBreak/>
              <w:t xml:space="preserve">volumes of cash, </w:t>
            </w:r>
            <w:r w:rsidRPr="00533DD4">
              <w:rPr>
                <w:rFonts w:cs="Arial"/>
                <w:szCs w:val="20"/>
              </w:rPr>
              <w:t>or trying to buy other patron’s tickets</w:t>
            </w:r>
            <w:r>
              <w:rPr>
                <w:rFonts w:cs="Arial"/>
                <w:szCs w:val="20"/>
              </w:rPr>
              <w:t xml:space="preserve"> or credits</w:t>
            </w:r>
          </w:p>
        </w:tc>
        <w:tc>
          <w:tcPr>
            <w:tcW w:w="1129" w:type="dxa"/>
          </w:tcPr>
          <w:p w14:paraId="7F093A4B" w14:textId="77777777" w:rsidR="003E3DA8" w:rsidRPr="00E76DBC" w:rsidRDefault="00414529" w:rsidP="003E3DA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  <w:highlight w:val="yellow"/>
              </w:rPr>
            </w:pPr>
            <w:sdt>
              <w:sdtPr>
                <w:rPr>
                  <w:color w:val="4472C4" w:themeColor="accent1"/>
                  <w:sz w:val="24"/>
                </w:rPr>
                <w:id w:val="131653198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E3DA8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21261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</w:tcPr>
              <w:p w14:paraId="200E48EF" w14:textId="77777777" w:rsidR="003E3DA8" w:rsidRPr="007606F5" w:rsidRDefault="003E3DA8" w:rsidP="003E3DA8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65605F34" w14:textId="31F38417" w:rsidR="003E3DA8" w:rsidRPr="00EB56CC" w:rsidRDefault="008E4634" w:rsidP="003E3DA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Read page 25 of the</w:t>
            </w:r>
            <w:hyperlink r:id="rId10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  <w:r>
              <w:rPr>
                <w:rFonts w:cs="Arial"/>
                <w:szCs w:val="20"/>
              </w:rPr>
              <w:t xml:space="preserve"> and familiarise </w:t>
            </w:r>
            <w:r>
              <w:rPr>
                <w:rFonts w:cs="Arial"/>
                <w:szCs w:val="20"/>
              </w:rPr>
              <w:lastRenderedPageBreak/>
              <w:t>yourself with suspicious patron behaviours</w:t>
            </w:r>
          </w:p>
        </w:tc>
      </w:tr>
      <w:tr w:rsidR="003E3DA8" w14:paraId="4D7745E4" w14:textId="77777777" w:rsidTr="0007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77ED0B" w14:textId="150F4D54" w:rsidR="003E3DA8" w:rsidRPr="008E4634" w:rsidRDefault="00CF7F65" w:rsidP="008E4634">
            <w:r w:rsidRPr="00533DD4">
              <w:rPr>
                <w:rFonts w:cs="Arial"/>
                <w:bCs/>
                <w:szCs w:val="20"/>
              </w:rPr>
              <w:lastRenderedPageBreak/>
              <w:t xml:space="preserve">I check that patrons are not using </w:t>
            </w:r>
            <w:r>
              <w:rPr>
                <w:rFonts w:cs="Arial"/>
                <w:bCs/>
                <w:szCs w:val="20"/>
              </w:rPr>
              <w:t xml:space="preserve">false identification when seeking the payment of </w:t>
            </w:r>
            <w:proofErr w:type="gramStart"/>
            <w:r>
              <w:rPr>
                <w:rFonts w:cs="Arial"/>
                <w:bCs/>
                <w:szCs w:val="20"/>
              </w:rPr>
              <w:t>winnings, and</w:t>
            </w:r>
            <w:proofErr w:type="gramEnd"/>
            <w:r>
              <w:rPr>
                <w:rFonts w:cs="Arial"/>
                <w:bCs/>
                <w:szCs w:val="20"/>
              </w:rPr>
              <w:t xml:space="preserve"> ensure that the identification matches the patron. </w:t>
            </w:r>
          </w:p>
        </w:tc>
        <w:tc>
          <w:tcPr>
            <w:tcW w:w="1129" w:type="dxa"/>
          </w:tcPr>
          <w:p w14:paraId="07CD6A88" w14:textId="77777777" w:rsidR="003E3DA8" w:rsidRPr="00E76DBC" w:rsidRDefault="00414529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98908509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3E3DA8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343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2" w:type="dxa"/>
              </w:tcPr>
              <w:p w14:paraId="6E7CAB56" w14:textId="77777777" w:rsidR="003E3DA8" w:rsidRPr="007606F5" w:rsidRDefault="003E3DA8" w:rsidP="003E3DA8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71CC80D4" w14:textId="0259E146" w:rsidR="003E3DA8" w:rsidRDefault="00F774B2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Put up </w:t>
            </w:r>
            <w:hyperlink r:id="rId11" w:history="1">
              <w:r w:rsidRPr="00745EAC">
                <w:rPr>
                  <w:rStyle w:val="Hyperlink"/>
                  <w:rFonts w:cs="Arial"/>
                  <w:szCs w:val="20"/>
                </w:rPr>
                <w:t>this poster</w:t>
              </w:r>
            </w:hyperlink>
            <w:r>
              <w:rPr>
                <w:rFonts w:cs="Arial"/>
                <w:szCs w:val="20"/>
              </w:rPr>
              <w:t xml:space="preserve"> from AUSTRAC in your back office to ensure that suspicious player-behaviour is top of mind</w:t>
            </w:r>
          </w:p>
        </w:tc>
      </w:tr>
      <w:tr w:rsidR="00CF7F65" w14:paraId="3A663983" w14:textId="77777777" w:rsidTr="0007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1013D20" w14:textId="7EB91C92" w:rsidR="00CF7F65" w:rsidRPr="008E4634" w:rsidRDefault="00CF7F65" w:rsidP="00CF7F65">
            <w:r>
              <w:rPr>
                <w:rFonts w:cs="Arial"/>
                <w:bCs/>
                <w:szCs w:val="20"/>
              </w:rPr>
              <w:t>I understand that a player who places a significant amount of money into an EGM, without any evident game play or wins, may be a sign of money laundering</w:t>
            </w:r>
          </w:p>
        </w:tc>
        <w:tc>
          <w:tcPr>
            <w:tcW w:w="1129" w:type="dxa"/>
          </w:tcPr>
          <w:p w14:paraId="3792D37C" w14:textId="7A2C0B4E" w:rsidR="00CF7F65" w:rsidRDefault="00CF7F65" w:rsidP="00CF7F6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57277606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2258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16C8143E" w14:textId="26FB52CB" w:rsidR="00CF7F65" w:rsidRDefault="00CF7F65" w:rsidP="00CF7F65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14BD39FC" w14:textId="1893A0D7" w:rsidR="00CF7F65" w:rsidRDefault="00CF7F65" w:rsidP="00CF7F6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Put up </w:t>
            </w:r>
            <w:hyperlink r:id="rId12" w:history="1">
              <w:r w:rsidRPr="00745EAC">
                <w:rPr>
                  <w:rStyle w:val="Hyperlink"/>
                  <w:rFonts w:cs="Arial"/>
                  <w:szCs w:val="20"/>
                </w:rPr>
                <w:t>this poster</w:t>
              </w:r>
            </w:hyperlink>
            <w:r>
              <w:rPr>
                <w:rFonts w:cs="Arial"/>
                <w:szCs w:val="20"/>
              </w:rPr>
              <w:t xml:space="preserve"> from AUSTRAC in your back office to ensure that suspicious player-behaviour is top of mind</w:t>
            </w:r>
          </w:p>
        </w:tc>
      </w:tr>
      <w:tr w:rsidR="00CF7F65" w14:paraId="57D157C9" w14:textId="77777777" w:rsidTr="0007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3C125D9" w14:textId="2BC02B67" w:rsidR="00CF7F65" w:rsidRPr="008E4634" w:rsidRDefault="00CF7F65" w:rsidP="00CF7F65">
            <w:r w:rsidRPr="00533DD4">
              <w:rPr>
                <w:rFonts w:cs="Arial"/>
                <w:szCs w:val="20"/>
              </w:rPr>
              <w:t>I familiarise myself with patrons, and note any sudden large increases in gambling activity which are inconsistent with their profile</w:t>
            </w:r>
          </w:p>
        </w:tc>
        <w:tc>
          <w:tcPr>
            <w:tcW w:w="1129" w:type="dxa"/>
          </w:tcPr>
          <w:p w14:paraId="53D5F6DC" w14:textId="77777777" w:rsidR="00CF7F65" w:rsidRPr="00E76DBC" w:rsidRDefault="00CF7F65" w:rsidP="00CF7F65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7564420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90352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526C27AB" w14:textId="1CDFF089" w:rsidR="00CF7F65" w:rsidRPr="007606F5" w:rsidRDefault="00CF7F65" w:rsidP="00CF7F65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1A3AAB7B" w14:textId="4BD187D5" w:rsidR="00CF7F65" w:rsidRPr="00D31579" w:rsidRDefault="00CF7F65" w:rsidP="00CF7F65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Put up </w:t>
            </w:r>
            <w:hyperlink r:id="rId13" w:history="1">
              <w:r w:rsidRPr="00745EAC">
                <w:rPr>
                  <w:rStyle w:val="Hyperlink"/>
                  <w:rFonts w:cs="Arial"/>
                  <w:szCs w:val="20"/>
                </w:rPr>
                <w:t>this poster</w:t>
              </w:r>
            </w:hyperlink>
            <w:r>
              <w:rPr>
                <w:rFonts w:cs="Arial"/>
                <w:szCs w:val="20"/>
              </w:rPr>
              <w:t xml:space="preserve"> from AUSTRAC in your back office to ensure that suspicious player-behaviour is top of mind</w:t>
            </w:r>
          </w:p>
        </w:tc>
      </w:tr>
    </w:tbl>
    <w:p w14:paraId="7CFB63E4" w14:textId="77777777" w:rsidR="00DE1002" w:rsidRDefault="00DE1002" w:rsidP="00DE1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29"/>
        <w:gridCol w:w="1422"/>
        <w:gridCol w:w="3390"/>
      </w:tblGrid>
      <w:tr w:rsidR="00DE1002" w14:paraId="604D4EA9" w14:textId="77777777" w:rsidTr="0034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342B9F" w14:textId="74D39846" w:rsidR="00DE1002" w:rsidRPr="00C67AD6" w:rsidRDefault="00373ABE" w:rsidP="00347739">
            <w:pPr>
              <w:pStyle w:val="Tableheaderwhite"/>
              <w:rPr>
                <w:b/>
                <w:bCs/>
              </w:rPr>
            </w:pPr>
            <w:r w:rsidRPr="00533DD4">
              <w:rPr>
                <w:rFonts w:cs="Arial"/>
                <w:b/>
              </w:rPr>
              <w:t>Reporting</w:t>
            </w:r>
          </w:p>
        </w:tc>
        <w:tc>
          <w:tcPr>
            <w:tcW w:w="1129" w:type="dxa"/>
          </w:tcPr>
          <w:p w14:paraId="137A4E1A" w14:textId="77777777" w:rsidR="00DE1002" w:rsidRPr="00C67AD6" w:rsidRDefault="00DE1002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22" w:type="dxa"/>
          </w:tcPr>
          <w:p w14:paraId="5612FF08" w14:textId="0E9D5DA8" w:rsidR="00DE1002" w:rsidRPr="00C67AD6" w:rsidRDefault="00373ABE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390" w:type="dxa"/>
          </w:tcPr>
          <w:p w14:paraId="31CEA99A" w14:textId="18346342" w:rsidR="00DE1002" w:rsidRPr="00C67AD6" w:rsidRDefault="00373ABE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414529" w14:paraId="0D62D53C" w14:textId="77777777" w:rsidTr="00A7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0CFA1CF" w14:textId="05182EBC" w:rsidR="00414529" w:rsidRPr="007723AF" w:rsidRDefault="00414529" w:rsidP="00414529">
            <w:pPr>
              <w:pStyle w:val="Tablebody"/>
            </w:pPr>
            <w:r w:rsidRPr="00533DD4">
              <w:rPr>
                <w:rFonts w:cs="Arial"/>
                <w:szCs w:val="20"/>
              </w:rPr>
              <w:t xml:space="preserve">I know </w:t>
            </w:r>
            <w:r>
              <w:rPr>
                <w:rFonts w:cs="Arial"/>
                <w:szCs w:val="20"/>
              </w:rPr>
              <w:t xml:space="preserve">who at my venue to report unusual ML/TF behaviours and suspicious activities to. </w:t>
            </w:r>
          </w:p>
        </w:tc>
        <w:tc>
          <w:tcPr>
            <w:tcW w:w="1129" w:type="dxa"/>
          </w:tcPr>
          <w:p w14:paraId="087F31B5" w14:textId="77777777" w:rsidR="00414529" w:rsidRPr="00E76DBC" w:rsidRDefault="00414529" w:rsidP="00414529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9174321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160965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12A2A660" w14:textId="77777777" w:rsidR="00414529" w:rsidRPr="007606F5" w:rsidRDefault="00414529" w:rsidP="00414529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04D57E81" w14:textId="46CB671B" w:rsidR="00414529" w:rsidRPr="007723AF" w:rsidRDefault="00414529" w:rsidP="00414529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Know how to contact your AML/CTF compliance officer, as well as the types of matters to escalate to them. </w:t>
            </w:r>
          </w:p>
        </w:tc>
      </w:tr>
      <w:tr w:rsidR="00414529" w14:paraId="2C3EEAF1" w14:textId="77777777" w:rsidTr="00A72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14:paraId="239B2562" w14:textId="38CA1F2D" w:rsidR="00414529" w:rsidRPr="00DE1002" w:rsidRDefault="00414529" w:rsidP="00414529">
            <w:pPr>
              <w:pStyle w:val="Tablebody"/>
              <w:rPr>
                <w:szCs w:val="20"/>
                <w:lang w:val="en-GB"/>
              </w:rPr>
            </w:pPr>
            <w:r w:rsidRPr="00533DD4">
              <w:rPr>
                <w:rFonts w:cs="Arial"/>
                <w:bCs/>
                <w:szCs w:val="20"/>
              </w:rPr>
              <w:t>I know not to tell anyone</w:t>
            </w:r>
            <w:r>
              <w:rPr>
                <w:rFonts w:cs="Arial"/>
                <w:bCs/>
                <w:szCs w:val="20"/>
              </w:rPr>
              <w:t xml:space="preserve"> if</w:t>
            </w:r>
            <w:r w:rsidRPr="00533DD4">
              <w:rPr>
                <w:rFonts w:cs="Arial"/>
                <w:bCs/>
                <w:szCs w:val="20"/>
              </w:rPr>
              <w:t xml:space="preserve"> I have </w:t>
            </w:r>
            <w:r>
              <w:rPr>
                <w:rFonts w:cs="Arial"/>
                <w:bCs/>
                <w:szCs w:val="20"/>
              </w:rPr>
              <w:t xml:space="preserve">escalated </w:t>
            </w:r>
            <w:r w:rsidRPr="00533DD4">
              <w:rPr>
                <w:rFonts w:cs="Arial"/>
                <w:bCs/>
                <w:szCs w:val="20"/>
              </w:rPr>
              <w:t>suspicions</w:t>
            </w:r>
            <w:r>
              <w:rPr>
                <w:rFonts w:cs="Arial"/>
                <w:bCs/>
                <w:szCs w:val="20"/>
              </w:rPr>
              <w:t xml:space="preserve"> to our AML/CT Compliance Officer. </w:t>
            </w:r>
          </w:p>
        </w:tc>
        <w:tc>
          <w:tcPr>
            <w:tcW w:w="1129" w:type="dxa"/>
          </w:tcPr>
          <w:p w14:paraId="11F5D820" w14:textId="77777777" w:rsidR="00414529" w:rsidRPr="00E76DBC" w:rsidRDefault="00414529" w:rsidP="00414529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4996468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3121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1F710DF5" w14:textId="77777777" w:rsidR="00414529" w:rsidRPr="007606F5" w:rsidRDefault="00414529" w:rsidP="00414529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4F312AAC" w14:textId="0A11987C" w:rsidR="00414529" w:rsidRDefault="00414529" w:rsidP="00414529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Read page 26 and 27 of the</w:t>
            </w:r>
            <w:hyperlink r:id="rId14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</w:p>
        </w:tc>
      </w:tr>
    </w:tbl>
    <w:p w14:paraId="398BEC68" w14:textId="77777777" w:rsidR="00DE1002" w:rsidRDefault="00DE1002" w:rsidP="00DE1002"/>
    <w:p w14:paraId="0E57DF28" w14:textId="4D2A0912" w:rsidR="00DE1002" w:rsidRPr="00DE1002" w:rsidRDefault="000200FE" w:rsidP="002C1938">
      <w:r w:rsidRPr="000200FE">
        <w:t xml:space="preserve">If you have any concerns about patron behaviour at your venue, contact your compliance officer. You can also contact the VGCCC on 1300 182 457 or </w:t>
      </w:r>
      <w:hyperlink r:id="rId15" w:history="1">
        <w:r w:rsidRPr="000200FE">
          <w:rPr>
            <w:rStyle w:val="Hyperlink"/>
          </w:rPr>
          <w:t>contact@vgccc.vic.gov.au</w:t>
        </w:r>
      </w:hyperlink>
    </w:p>
    <w:sectPr w:rsidR="00DE1002" w:rsidRPr="00DE1002" w:rsidSect="00F84DCD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0" w:h="16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8134" w14:textId="77777777" w:rsidR="00506167" w:rsidRDefault="00506167" w:rsidP="00FF2500">
      <w:pPr>
        <w:spacing w:after="0"/>
      </w:pPr>
      <w:r>
        <w:separator/>
      </w:r>
    </w:p>
  </w:endnote>
  <w:endnote w:type="continuationSeparator" w:id="0">
    <w:p w14:paraId="0E0F1C3D" w14:textId="77777777" w:rsidR="00506167" w:rsidRDefault="00506167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39B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F3B1D" w14:textId="77777777" w:rsidR="00A31926" w:rsidRDefault="00414529" w:rsidP="00CA5D76">
    <w:pPr>
      <w:pStyle w:val="Footer"/>
      <w:ind w:right="360" w:firstLine="360"/>
    </w:pPr>
  </w:p>
  <w:p w14:paraId="3B5B9E27" w14:textId="77777777" w:rsidR="00E91959" w:rsidRDefault="00E91959"/>
  <w:p w14:paraId="44CF171C" w14:textId="77777777" w:rsidR="00E91959" w:rsidRDefault="00E91959"/>
  <w:p w14:paraId="57B657F3" w14:textId="77777777" w:rsidR="00E91959" w:rsidRDefault="00E91959"/>
  <w:p w14:paraId="0958E9C3" w14:textId="77777777" w:rsidR="00E91959" w:rsidRDefault="00E919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1625"/>
      <w:gridCol w:w="4801"/>
      <w:gridCol w:w="3206"/>
    </w:tblGrid>
    <w:tr w:rsidR="000F792F" w:rsidRPr="000F792F" w14:paraId="3599BF7F" w14:textId="77777777" w:rsidTr="000F792F">
      <w:tc>
        <w:tcPr>
          <w:tcW w:w="1701" w:type="dxa"/>
          <w:tcMar>
            <w:top w:w="0" w:type="nil"/>
            <w:bottom w:w="0" w:type="nil"/>
          </w:tcMar>
        </w:tcPr>
        <w:p w14:paraId="01C59DE8" w14:textId="77777777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>Victorian Gambling</w:t>
          </w:r>
          <w:r>
            <w:rPr>
              <w:sz w:val="15"/>
              <w:szCs w:val="15"/>
            </w:rPr>
            <w:br/>
            <w:t>and Casino Control</w:t>
          </w:r>
          <w:r>
            <w:rPr>
              <w:sz w:val="15"/>
              <w:szCs w:val="15"/>
            </w:rPr>
            <w:br/>
            <w:t>Commission</w:t>
          </w:r>
        </w:p>
      </w:tc>
      <w:tc>
        <w:tcPr>
          <w:tcW w:w="5097" w:type="dxa"/>
          <w:tcMar>
            <w:top w:w="0" w:type="nil"/>
            <w:bottom w:w="0" w:type="nil"/>
          </w:tcMar>
        </w:tcPr>
        <w:p w14:paraId="154783FB" w14:textId="004C84B7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Level </w:t>
          </w:r>
          <w:r w:rsidR="000200FE">
            <w:rPr>
              <w:sz w:val="15"/>
              <w:szCs w:val="15"/>
            </w:rPr>
            <w:t>4</w:t>
          </w:r>
          <w:r>
            <w:rPr>
              <w:sz w:val="15"/>
              <w:szCs w:val="15"/>
            </w:rPr>
            <w:t>, 12 Shelley Street, Richmond VIC 3121</w:t>
          </w:r>
          <w:r>
            <w:rPr>
              <w:sz w:val="15"/>
              <w:szCs w:val="15"/>
            </w:rPr>
            <w:br/>
            <w:t>GPO Box 1988, Melbourne VIC 3001</w:t>
          </w:r>
          <w:r>
            <w:rPr>
              <w:sz w:val="15"/>
              <w:szCs w:val="15"/>
            </w:rPr>
            <w:br/>
          </w:r>
          <w:r w:rsidRPr="00354F17">
            <w:rPr>
              <w:color w:val="188FC1"/>
              <w:sz w:val="15"/>
              <w:szCs w:val="15"/>
            </w:rPr>
            <w:t xml:space="preserve">T: </w:t>
          </w:r>
          <w:r>
            <w:rPr>
              <w:sz w:val="15"/>
              <w:szCs w:val="15"/>
            </w:rPr>
            <w:t>1300 18</w:t>
          </w:r>
          <w:r w:rsidR="00050F56">
            <w:rPr>
              <w:sz w:val="15"/>
              <w:szCs w:val="15"/>
            </w:rPr>
            <w:t>2</w:t>
          </w:r>
          <w:r>
            <w:rPr>
              <w:sz w:val="15"/>
              <w:szCs w:val="15"/>
            </w:rPr>
            <w:t xml:space="preserve"> </w:t>
          </w:r>
          <w:proofErr w:type="gramStart"/>
          <w:r>
            <w:rPr>
              <w:sz w:val="15"/>
              <w:szCs w:val="15"/>
            </w:rPr>
            <w:t xml:space="preserve">457  </w:t>
          </w:r>
          <w:r w:rsidRPr="00354F17">
            <w:rPr>
              <w:color w:val="188FC1"/>
              <w:sz w:val="15"/>
              <w:szCs w:val="15"/>
            </w:rPr>
            <w:t>|</w:t>
          </w:r>
          <w:proofErr w:type="gramEnd"/>
          <w:r w:rsidRPr="00354F17">
            <w:rPr>
              <w:color w:val="188FC1"/>
              <w:sz w:val="15"/>
              <w:szCs w:val="15"/>
            </w:rPr>
            <w:t xml:space="preserve">  E</w:t>
          </w:r>
          <w:r>
            <w:rPr>
              <w:sz w:val="15"/>
              <w:szCs w:val="15"/>
            </w:rPr>
            <w:t xml:space="preserve">: </w:t>
          </w:r>
          <w:hyperlink r:id="rId1" w:history="1">
            <w:r w:rsidR="00E8343C">
              <w:rPr>
                <w:rStyle w:val="Hyperlink"/>
                <w:sz w:val="15"/>
                <w:szCs w:val="15"/>
              </w:rPr>
              <w:t>contact@vgccc.vic.gov.au</w:t>
            </w:r>
          </w:hyperlink>
          <w:r w:rsidR="00354F17">
            <w:rPr>
              <w:sz w:val="15"/>
              <w:szCs w:val="15"/>
            </w:rPr>
            <w:br/>
          </w:r>
          <w:r w:rsidR="00354F17" w:rsidRPr="00354F17">
            <w:rPr>
              <w:color w:val="188FC1"/>
              <w:sz w:val="15"/>
              <w:szCs w:val="15"/>
            </w:rPr>
            <w:t>vgccc.vic.gov.au</w:t>
          </w:r>
        </w:p>
      </w:tc>
      <w:tc>
        <w:tcPr>
          <w:tcW w:w="3400" w:type="dxa"/>
          <w:tcMar>
            <w:top w:w="0" w:type="nil"/>
            <w:bottom w:w="0" w:type="nil"/>
          </w:tcMar>
        </w:tcPr>
        <w:p w14:paraId="739EFE96" w14:textId="77777777" w:rsidR="000F792F" w:rsidRPr="000F792F" w:rsidRDefault="00496DDE" w:rsidP="00496DDE">
          <w:pPr>
            <w:pStyle w:val="Footer"/>
            <w:spacing w:after="0"/>
            <w:jc w:val="right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7F33EF1B" wp14:editId="0668DC05">
                <wp:extent cx="762000" cy="444500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54407A" w14:textId="77777777" w:rsidR="00A31926" w:rsidRDefault="00414529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4CAB" w14:textId="77777777" w:rsidR="00506167" w:rsidRDefault="00506167" w:rsidP="00FF2500">
      <w:pPr>
        <w:spacing w:after="0"/>
      </w:pPr>
      <w:r>
        <w:separator/>
      </w:r>
    </w:p>
  </w:footnote>
  <w:footnote w:type="continuationSeparator" w:id="0">
    <w:p w14:paraId="3E16F80B" w14:textId="77777777" w:rsidR="00506167" w:rsidRDefault="00506167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C4DF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54A7A" wp14:editId="21B6DC73">
          <wp:simplePos x="0" y="0"/>
          <wp:positionH relativeFrom="column">
            <wp:posOffset>-723265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D8823" w14:textId="77777777" w:rsidR="00E91959" w:rsidRDefault="00E919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09F5" w14:textId="646CA6D3" w:rsidR="00032A2E" w:rsidRDefault="00032A2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48CEE2" wp14:editId="4E5152F8">
          <wp:simplePos x="0" y="0"/>
          <wp:positionH relativeFrom="column">
            <wp:posOffset>-719455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C4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7FC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050"/>
    <w:multiLevelType w:val="hybridMultilevel"/>
    <w:tmpl w:val="64D80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77D5"/>
    <w:multiLevelType w:val="hybridMultilevel"/>
    <w:tmpl w:val="005AC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7"/>
    <w:rsid w:val="000200FE"/>
    <w:rsid w:val="00032A2E"/>
    <w:rsid w:val="00050F56"/>
    <w:rsid w:val="000B1D5A"/>
    <w:rsid w:val="000B54E6"/>
    <w:rsid w:val="000D1240"/>
    <w:rsid w:val="000F0B55"/>
    <w:rsid w:val="000F792F"/>
    <w:rsid w:val="00105663"/>
    <w:rsid w:val="00181BFD"/>
    <w:rsid w:val="00194752"/>
    <w:rsid w:val="00203CE2"/>
    <w:rsid w:val="0021786D"/>
    <w:rsid w:val="0022203A"/>
    <w:rsid w:val="00224E16"/>
    <w:rsid w:val="002C1938"/>
    <w:rsid w:val="002D4895"/>
    <w:rsid w:val="002E1320"/>
    <w:rsid w:val="00354F17"/>
    <w:rsid w:val="003739CE"/>
    <w:rsid w:val="00373ABE"/>
    <w:rsid w:val="00373E76"/>
    <w:rsid w:val="00380D96"/>
    <w:rsid w:val="003B2025"/>
    <w:rsid w:val="003E3DA8"/>
    <w:rsid w:val="00414529"/>
    <w:rsid w:val="00424B95"/>
    <w:rsid w:val="004315CC"/>
    <w:rsid w:val="00436F05"/>
    <w:rsid w:val="00446CD6"/>
    <w:rsid w:val="00496DDE"/>
    <w:rsid w:val="004B0BC7"/>
    <w:rsid w:val="004C53FF"/>
    <w:rsid w:val="004D2486"/>
    <w:rsid w:val="00506167"/>
    <w:rsid w:val="005511B5"/>
    <w:rsid w:val="005A708E"/>
    <w:rsid w:val="005C15A8"/>
    <w:rsid w:val="005E4A11"/>
    <w:rsid w:val="005E52EC"/>
    <w:rsid w:val="00606023"/>
    <w:rsid w:val="00612614"/>
    <w:rsid w:val="006637DE"/>
    <w:rsid w:val="00670D56"/>
    <w:rsid w:val="006B4D8F"/>
    <w:rsid w:val="00733E12"/>
    <w:rsid w:val="00774588"/>
    <w:rsid w:val="007E076B"/>
    <w:rsid w:val="007F646E"/>
    <w:rsid w:val="008C4BAB"/>
    <w:rsid w:val="008E4634"/>
    <w:rsid w:val="00936F1D"/>
    <w:rsid w:val="00942888"/>
    <w:rsid w:val="009469EE"/>
    <w:rsid w:val="00991547"/>
    <w:rsid w:val="009C56B6"/>
    <w:rsid w:val="009E23DC"/>
    <w:rsid w:val="00A1108C"/>
    <w:rsid w:val="00A23988"/>
    <w:rsid w:val="00A62142"/>
    <w:rsid w:val="00AA1E42"/>
    <w:rsid w:val="00AA6D92"/>
    <w:rsid w:val="00AB3CF7"/>
    <w:rsid w:val="00AE4363"/>
    <w:rsid w:val="00B6703E"/>
    <w:rsid w:val="00C90F37"/>
    <w:rsid w:val="00C91E2F"/>
    <w:rsid w:val="00CA5D76"/>
    <w:rsid w:val="00CD472D"/>
    <w:rsid w:val="00CF7F65"/>
    <w:rsid w:val="00D13FB2"/>
    <w:rsid w:val="00D3029C"/>
    <w:rsid w:val="00DA668B"/>
    <w:rsid w:val="00DD1E97"/>
    <w:rsid w:val="00DE1002"/>
    <w:rsid w:val="00DF7883"/>
    <w:rsid w:val="00E107AB"/>
    <w:rsid w:val="00E16C9A"/>
    <w:rsid w:val="00E44E5F"/>
    <w:rsid w:val="00E72394"/>
    <w:rsid w:val="00E8343C"/>
    <w:rsid w:val="00E91959"/>
    <w:rsid w:val="00ED087F"/>
    <w:rsid w:val="00EE1024"/>
    <w:rsid w:val="00F03522"/>
    <w:rsid w:val="00F076EC"/>
    <w:rsid w:val="00F753E7"/>
    <w:rsid w:val="00F774B2"/>
    <w:rsid w:val="00F84DCD"/>
    <w:rsid w:val="00F927B0"/>
    <w:rsid w:val="00F974B1"/>
    <w:rsid w:val="00FE0332"/>
    <w:rsid w:val="00FF250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0317A"/>
  <w15:chartTrackingRefBased/>
  <w15:docId w15:val="{8AC4FC76-EEBE-EA4B-BF33-407DED6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B1"/>
    <w:pPr>
      <w:keepNext/>
      <w:keepLines/>
      <w:spacing w:after="24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B1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aliases w:val="VCGLR Table 1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002"/>
    <w:rPr>
      <w:rFonts w:asciiTheme="majorHAnsi" w:eastAsiaTheme="majorEastAsia" w:hAnsiTheme="majorHAnsi" w:cstheme="majorBidi"/>
      <w:color w:val="2F5496" w:themeColor="accent1" w:themeShade="BF"/>
      <w:sz w:val="20"/>
      <w:lang w:val="en-GB"/>
    </w:rPr>
  </w:style>
  <w:style w:type="paragraph" w:customStyle="1" w:styleId="Intro">
    <w:name w:val="Intro"/>
    <w:basedOn w:val="Normal"/>
    <w:qFormat/>
    <w:rsid w:val="000B1D5A"/>
    <w:rPr>
      <w:rFonts w:asciiTheme="minorHAnsi" w:hAnsiTheme="minorHAnsi"/>
      <w:b/>
      <w:color w:val="091F40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DE1002"/>
    <w:rPr>
      <w:color w:val="808080"/>
    </w:rPr>
  </w:style>
  <w:style w:type="paragraph" w:customStyle="1" w:styleId="Tablebody">
    <w:name w:val="Table body"/>
    <w:basedOn w:val="Normal"/>
    <w:autoRedefine/>
    <w:qFormat/>
    <w:rsid w:val="00DE1002"/>
    <w:pPr>
      <w:spacing w:before="60" w:after="60"/>
    </w:pPr>
    <w:rPr>
      <w:lang w:val="en-AU"/>
    </w:rPr>
  </w:style>
  <w:style w:type="paragraph" w:customStyle="1" w:styleId="Tableheaderwhite">
    <w:name w:val="Table header white"/>
    <w:basedOn w:val="Normal"/>
    <w:autoRedefine/>
    <w:qFormat/>
    <w:rsid w:val="00DE1002"/>
    <w:pPr>
      <w:spacing w:before="120"/>
    </w:pPr>
    <w:rPr>
      <w:color w:val="FFFFFF" w:themeColor="background1"/>
      <w:sz w:val="22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DE1002"/>
    <w:pPr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02"/>
    <w:rPr>
      <w:sz w:val="20"/>
      <w:szCs w:val="20"/>
    </w:rPr>
  </w:style>
  <w:style w:type="paragraph" w:customStyle="1" w:styleId="Default">
    <w:name w:val="Default"/>
    <w:rsid w:val="00DE1002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NoSpacing">
    <w:name w:val="No Spacing"/>
    <w:uiPriority w:val="1"/>
    <w:qFormat/>
    <w:rsid w:val="00DE1002"/>
    <w:rPr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1BFD"/>
    <w:rPr>
      <w:color w:val="954F72" w:themeColor="followedHyperlink"/>
      <w:u w:val="single"/>
    </w:rPr>
  </w:style>
  <w:style w:type="character" w:customStyle="1" w:styleId="A3">
    <w:name w:val="A3"/>
    <w:uiPriority w:val="99"/>
    <w:rsid w:val="000200FE"/>
    <w:rPr>
      <w:rFonts w:cs="Museo Sans 300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c.gov.au/sites/default/files/2022-03/AUSTRAC_RegulatoryGuide_PubsAndClubs_web_0.pdf" TargetMode="External"/><Relationship Id="rId13" Type="http://schemas.openxmlformats.org/officeDocument/2006/relationships/hyperlink" Target="https://www.austrac.gov.au/sites/default/files/2019-09/PubsClubs_StaffAwareness_WR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gccc.vic.gov.au/sites/default/files/22_82_aml_poster_-_keep_it_clean_v5.pdf" TargetMode="External"/><Relationship Id="rId12" Type="http://schemas.openxmlformats.org/officeDocument/2006/relationships/hyperlink" Target="https://www.austrac.gov.au/sites/default/files/2019-09/PubsClubs_StaffAwareness_WR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c.gov.au/sites/default/files/2019-09/PubsClubs_StaffAwareness_W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vgccc.vic.gov.au" TargetMode="External"/><Relationship Id="rId10" Type="http://schemas.openxmlformats.org/officeDocument/2006/relationships/hyperlink" Target="https://www.austrac.gov.au/sites/default/files/2022-03/AUSTRAC_RegulatoryGuide_PubsAndClubs_web_0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ustrac.gov.au/sites/default/files/2022-03/AUSTRAC_RegulatoryGuide_PubsAndClubs_web_0.pdf" TargetMode="External"/><Relationship Id="rId14" Type="http://schemas.openxmlformats.org/officeDocument/2006/relationships/hyperlink" Target="https://www.austrac.gov.au/sites/default/files/2022-03/AUSTRAC_RegulatoryGuide_PubsAndClubs_web_0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vgcc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Robbie Williams</cp:lastModifiedBy>
  <cp:revision>23</cp:revision>
  <dcterms:created xsi:type="dcterms:W3CDTF">2022-11-23T03:25:00Z</dcterms:created>
  <dcterms:modified xsi:type="dcterms:W3CDTF">2022-11-28T02:16:00Z</dcterms:modified>
</cp:coreProperties>
</file>