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CAD9E6" w14:textId="4F3BA9DA" w:rsidR="009469EE" w:rsidRPr="00C728CE" w:rsidRDefault="0081733D" w:rsidP="0081733D">
      <w:pPr>
        <w:pStyle w:val="Frontcovertitle"/>
      </w:pPr>
      <w:bookmarkStart w:id="0" w:name="_Toc113880094"/>
      <w:bookmarkStart w:id="1" w:name="_Toc113880138"/>
      <w:bookmarkStart w:id="2" w:name="_Toc114465543"/>
      <w:r>
        <w:t>Accounting and auditing</w:t>
      </w:r>
      <w:bookmarkEnd w:id="0"/>
      <w:bookmarkEnd w:id="1"/>
      <w:r w:rsidR="00823F21">
        <w:t xml:space="preserve"> venue requirements</w:t>
      </w:r>
      <w:bookmarkEnd w:id="2"/>
    </w:p>
    <w:p w14:paraId="2D72CAA4" w14:textId="3F8D86CF" w:rsidR="00823F21" w:rsidRDefault="00823F21" w:rsidP="0081733D">
      <w:pPr>
        <w:pStyle w:val="Coversubtitle"/>
      </w:pPr>
      <w:bookmarkStart w:id="3" w:name="_Toc113880095"/>
      <w:bookmarkStart w:id="4" w:name="_Toc113880139"/>
      <w:bookmarkStart w:id="5" w:name="_Toc114465544"/>
      <w:r>
        <w:t>September 2022</w:t>
      </w:r>
      <w:bookmarkEnd w:id="5"/>
    </w:p>
    <w:p w14:paraId="337992A9" w14:textId="522D6EA4" w:rsidR="005A7C53" w:rsidRPr="00941D68" w:rsidRDefault="005A7C53" w:rsidP="0081733D">
      <w:pPr>
        <w:pStyle w:val="Coversubtitle"/>
        <w:rPr>
          <w:sz w:val="20"/>
          <w:szCs w:val="20"/>
        </w:rPr>
      </w:pPr>
      <w:bookmarkStart w:id="6" w:name="_Toc114465545"/>
      <w:r w:rsidRPr="00941D68">
        <w:rPr>
          <w:sz w:val="20"/>
          <w:szCs w:val="20"/>
        </w:rPr>
        <w:t>Version 4.5</w:t>
      </w:r>
      <w:bookmarkEnd w:id="6"/>
    </w:p>
    <w:bookmarkEnd w:id="3"/>
    <w:bookmarkEnd w:id="4"/>
    <w:p w14:paraId="51448A31" w14:textId="77777777" w:rsidR="00914D79" w:rsidRDefault="00914D79" w:rsidP="0081733D">
      <w:pPr>
        <w:rPr>
          <w:rFonts w:eastAsiaTheme="majorEastAsia" w:cs="Times New Roman (Headings CS)"/>
          <w:szCs w:val="32"/>
        </w:rPr>
      </w:pPr>
      <w:r>
        <w:br w:type="page"/>
      </w:r>
    </w:p>
    <w:sdt>
      <w:sdtPr>
        <w:rPr>
          <w:rFonts w:ascii="Arial" w:eastAsiaTheme="minorHAnsi" w:hAnsi="Arial" w:cstheme="minorBidi"/>
          <w:color w:val="auto"/>
          <w:sz w:val="20"/>
          <w:szCs w:val="24"/>
          <w:lang w:val="en-GB"/>
        </w:rPr>
        <w:id w:val="-1489326802"/>
        <w:docPartObj>
          <w:docPartGallery w:val="Table of Contents"/>
          <w:docPartUnique/>
        </w:docPartObj>
      </w:sdtPr>
      <w:sdtEndPr>
        <w:rPr>
          <w:b/>
          <w:bCs/>
          <w:noProof/>
        </w:rPr>
      </w:sdtEndPr>
      <w:sdtContent>
        <w:p w14:paraId="058660C5" w14:textId="439C05F5" w:rsidR="00481903" w:rsidRPr="00481903" w:rsidRDefault="00481903">
          <w:pPr>
            <w:pStyle w:val="TOCHeading"/>
            <w:rPr>
              <w:rStyle w:val="Heading1Char"/>
            </w:rPr>
          </w:pPr>
          <w:r w:rsidRPr="00481903">
            <w:rPr>
              <w:rStyle w:val="Heading1Char"/>
            </w:rPr>
            <w:t>Contents</w:t>
          </w:r>
        </w:p>
        <w:p w14:paraId="21B26DBA" w14:textId="168395E8" w:rsidR="00941D68" w:rsidRDefault="00941D68" w:rsidP="00941D68">
          <w:pPr>
            <w:pStyle w:val="TOC1"/>
            <w:rPr>
              <w:rFonts w:asciiTheme="minorHAnsi" w:eastAsiaTheme="minorEastAsia" w:hAnsiTheme="minorHAnsi"/>
              <w:noProof/>
              <w:sz w:val="22"/>
              <w:szCs w:val="22"/>
              <w:lang w:val="en-AU" w:eastAsia="en-AU"/>
            </w:rPr>
          </w:pPr>
          <w:r>
            <w:fldChar w:fldCharType="begin"/>
          </w:r>
          <w:r>
            <w:instrText xml:space="preserve"> TOC \o "1-2" \h \z \u </w:instrText>
          </w:r>
          <w:r>
            <w:fldChar w:fldCharType="separate"/>
          </w:r>
        </w:p>
        <w:p w14:paraId="731D4FA7" w14:textId="08009F98" w:rsidR="00941D68" w:rsidRPr="00941D68" w:rsidRDefault="00941D68" w:rsidP="00941D68">
          <w:pPr>
            <w:pStyle w:val="TOC1"/>
            <w:rPr>
              <w:rFonts w:asciiTheme="minorHAnsi" w:eastAsiaTheme="minorEastAsia" w:hAnsiTheme="minorHAnsi"/>
              <w:b/>
              <w:bCs/>
              <w:noProof/>
              <w:sz w:val="22"/>
              <w:szCs w:val="22"/>
              <w:lang w:val="en-AU" w:eastAsia="en-AU"/>
            </w:rPr>
          </w:pPr>
          <w:hyperlink w:anchor="_Toc114465546" w:history="1">
            <w:r w:rsidRPr="00941D68">
              <w:rPr>
                <w:rStyle w:val="Hyperlink"/>
                <w:b/>
                <w:bCs/>
                <w:noProof/>
              </w:rPr>
              <w:t>1</w:t>
            </w:r>
            <w:r w:rsidRPr="00941D68">
              <w:rPr>
                <w:rFonts w:asciiTheme="minorHAnsi" w:eastAsiaTheme="minorEastAsia" w:hAnsiTheme="minorHAnsi"/>
                <w:b/>
                <w:bCs/>
                <w:noProof/>
                <w:sz w:val="22"/>
                <w:szCs w:val="22"/>
                <w:lang w:val="en-AU" w:eastAsia="en-AU"/>
              </w:rPr>
              <w:tab/>
            </w:r>
            <w:r w:rsidRPr="00941D68">
              <w:rPr>
                <w:rStyle w:val="Hyperlink"/>
                <w:b/>
                <w:bCs/>
                <w:noProof/>
              </w:rPr>
              <w:t>General venue accounting conditions</w:t>
            </w:r>
            <w:r w:rsidRPr="00941D68">
              <w:rPr>
                <w:b/>
                <w:bCs/>
                <w:noProof/>
                <w:webHidden/>
              </w:rPr>
              <w:tab/>
            </w:r>
            <w:r w:rsidRPr="00941D68">
              <w:rPr>
                <w:b/>
                <w:bCs/>
                <w:noProof/>
                <w:webHidden/>
              </w:rPr>
              <w:fldChar w:fldCharType="begin"/>
            </w:r>
            <w:r w:rsidRPr="00941D68">
              <w:rPr>
                <w:b/>
                <w:bCs/>
                <w:noProof/>
                <w:webHidden/>
              </w:rPr>
              <w:instrText xml:space="preserve"> PAGEREF _Toc114465546 \h </w:instrText>
            </w:r>
            <w:r w:rsidRPr="00941D68">
              <w:rPr>
                <w:b/>
                <w:bCs/>
                <w:noProof/>
                <w:webHidden/>
              </w:rPr>
            </w:r>
            <w:r w:rsidRPr="00941D68">
              <w:rPr>
                <w:b/>
                <w:bCs/>
                <w:noProof/>
                <w:webHidden/>
              </w:rPr>
              <w:fldChar w:fldCharType="separate"/>
            </w:r>
            <w:r w:rsidR="008C6AF1">
              <w:rPr>
                <w:b/>
                <w:bCs/>
                <w:noProof/>
                <w:webHidden/>
              </w:rPr>
              <w:t>2</w:t>
            </w:r>
            <w:r w:rsidRPr="00941D68">
              <w:rPr>
                <w:b/>
                <w:bCs/>
                <w:noProof/>
                <w:webHidden/>
              </w:rPr>
              <w:fldChar w:fldCharType="end"/>
            </w:r>
          </w:hyperlink>
        </w:p>
        <w:p w14:paraId="4685A6EA" w14:textId="1B7C5687" w:rsidR="00941D68" w:rsidRDefault="00941D68" w:rsidP="00941D68">
          <w:pPr>
            <w:pStyle w:val="TOC1"/>
            <w:rPr>
              <w:rFonts w:asciiTheme="minorHAnsi" w:eastAsiaTheme="minorEastAsia" w:hAnsiTheme="minorHAnsi"/>
              <w:noProof/>
              <w:sz w:val="22"/>
              <w:szCs w:val="22"/>
              <w:lang w:val="en-AU" w:eastAsia="en-AU"/>
            </w:rPr>
          </w:pPr>
          <w:hyperlink w:anchor="_Toc114465547" w:history="1">
            <w:r w:rsidRPr="004C5443">
              <w:rPr>
                <w:rStyle w:val="Hyperlink"/>
                <w:noProof/>
              </w:rPr>
              <w:t>1.1</w:t>
            </w:r>
            <w:r>
              <w:rPr>
                <w:rFonts w:asciiTheme="minorHAnsi" w:eastAsiaTheme="minorEastAsia" w:hAnsiTheme="minorHAnsi"/>
                <w:noProof/>
                <w:sz w:val="22"/>
                <w:szCs w:val="22"/>
                <w:lang w:val="en-AU" w:eastAsia="en-AU"/>
              </w:rPr>
              <w:tab/>
            </w:r>
            <w:r w:rsidRPr="004C5443">
              <w:rPr>
                <w:rStyle w:val="Hyperlink"/>
                <w:noProof/>
              </w:rPr>
              <w:t>Adherence to accounting and auditing venue requirements</w:t>
            </w:r>
            <w:r>
              <w:rPr>
                <w:noProof/>
                <w:webHidden/>
              </w:rPr>
              <w:tab/>
            </w:r>
            <w:r>
              <w:rPr>
                <w:noProof/>
                <w:webHidden/>
              </w:rPr>
              <w:fldChar w:fldCharType="begin"/>
            </w:r>
            <w:r>
              <w:rPr>
                <w:noProof/>
                <w:webHidden/>
              </w:rPr>
              <w:instrText xml:space="preserve"> PAGEREF _Toc114465547 \h </w:instrText>
            </w:r>
            <w:r>
              <w:rPr>
                <w:noProof/>
                <w:webHidden/>
              </w:rPr>
            </w:r>
            <w:r>
              <w:rPr>
                <w:noProof/>
                <w:webHidden/>
              </w:rPr>
              <w:fldChar w:fldCharType="separate"/>
            </w:r>
            <w:r w:rsidR="008C6AF1">
              <w:rPr>
                <w:noProof/>
                <w:webHidden/>
              </w:rPr>
              <w:t>2</w:t>
            </w:r>
            <w:r>
              <w:rPr>
                <w:noProof/>
                <w:webHidden/>
              </w:rPr>
              <w:fldChar w:fldCharType="end"/>
            </w:r>
          </w:hyperlink>
        </w:p>
        <w:p w14:paraId="1061328E" w14:textId="63AB3A6F" w:rsidR="00941D68" w:rsidRDefault="00941D68" w:rsidP="00941D68">
          <w:pPr>
            <w:pStyle w:val="TOC1"/>
            <w:rPr>
              <w:rFonts w:asciiTheme="minorHAnsi" w:eastAsiaTheme="minorEastAsia" w:hAnsiTheme="minorHAnsi"/>
              <w:noProof/>
              <w:sz w:val="22"/>
              <w:szCs w:val="22"/>
              <w:lang w:val="en-AU" w:eastAsia="en-AU"/>
            </w:rPr>
          </w:pPr>
          <w:hyperlink w:anchor="_Toc114465548" w:history="1">
            <w:r w:rsidRPr="004C5443">
              <w:rPr>
                <w:rStyle w:val="Hyperlink"/>
                <w:noProof/>
              </w:rPr>
              <w:t>1.2</w:t>
            </w:r>
            <w:r>
              <w:rPr>
                <w:rFonts w:asciiTheme="minorHAnsi" w:eastAsiaTheme="minorEastAsia" w:hAnsiTheme="minorHAnsi"/>
                <w:noProof/>
                <w:sz w:val="22"/>
                <w:szCs w:val="22"/>
                <w:lang w:val="en-AU" w:eastAsia="en-AU"/>
              </w:rPr>
              <w:tab/>
            </w:r>
            <w:r w:rsidRPr="004C5443">
              <w:rPr>
                <w:rStyle w:val="Hyperlink"/>
                <w:noProof/>
              </w:rPr>
              <w:t>Accurate record keeping</w:t>
            </w:r>
            <w:r>
              <w:rPr>
                <w:noProof/>
                <w:webHidden/>
              </w:rPr>
              <w:tab/>
            </w:r>
            <w:r>
              <w:rPr>
                <w:noProof/>
                <w:webHidden/>
              </w:rPr>
              <w:fldChar w:fldCharType="begin"/>
            </w:r>
            <w:r>
              <w:rPr>
                <w:noProof/>
                <w:webHidden/>
              </w:rPr>
              <w:instrText xml:space="preserve"> PAGEREF _Toc114465548 \h </w:instrText>
            </w:r>
            <w:r>
              <w:rPr>
                <w:noProof/>
                <w:webHidden/>
              </w:rPr>
            </w:r>
            <w:r>
              <w:rPr>
                <w:noProof/>
                <w:webHidden/>
              </w:rPr>
              <w:fldChar w:fldCharType="separate"/>
            </w:r>
            <w:r w:rsidR="008C6AF1">
              <w:rPr>
                <w:noProof/>
                <w:webHidden/>
              </w:rPr>
              <w:t>2</w:t>
            </w:r>
            <w:r>
              <w:rPr>
                <w:noProof/>
                <w:webHidden/>
              </w:rPr>
              <w:fldChar w:fldCharType="end"/>
            </w:r>
          </w:hyperlink>
        </w:p>
        <w:p w14:paraId="7BDD395D" w14:textId="4A78C4A1" w:rsidR="00941D68" w:rsidRDefault="00941D68" w:rsidP="00941D68">
          <w:pPr>
            <w:pStyle w:val="TOC1"/>
            <w:rPr>
              <w:rFonts w:asciiTheme="minorHAnsi" w:eastAsiaTheme="minorEastAsia" w:hAnsiTheme="minorHAnsi"/>
              <w:noProof/>
              <w:sz w:val="22"/>
              <w:szCs w:val="22"/>
              <w:lang w:val="en-AU" w:eastAsia="en-AU"/>
            </w:rPr>
          </w:pPr>
          <w:hyperlink w:anchor="_Toc114465549" w:history="1">
            <w:r w:rsidRPr="004C5443">
              <w:rPr>
                <w:rStyle w:val="Hyperlink"/>
                <w:noProof/>
              </w:rPr>
              <w:t>1.3</w:t>
            </w:r>
            <w:r>
              <w:rPr>
                <w:rFonts w:asciiTheme="minorHAnsi" w:eastAsiaTheme="minorEastAsia" w:hAnsiTheme="minorHAnsi"/>
                <w:noProof/>
                <w:sz w:val="22"/>
                <w:szCs w:val="22"/>
                <w:lang w:val="en-AU" w:eastAsia="en-AU"/>
              </w:rPr>
              <w:tab/>
            </w:r>
            <w:r w:rsidRPr="004C5443">
              <w:rPr>
                <w:rStyle w:val="Hyperlink"/>
                <w:noProof/>
              </w:rPr>
              <w:t>Gaming data reconciliations</w:t>
            </w:r>
            <w:r>
              <w:rPr>
                <w:noProof/>
                <w:webHidden/>
              </w:rPr>
              <w:tab/>
            </w:r>
            <w:r>
              <w:rPr>
                <w:noProof/>
                <w:webHidden/>
              </w:rPr>
              <w:fldChar w:fldCharType="begin"/>
            </w:r>
            <w:r>
              <w:rPr>
                <w:noProof/>
                <w:webHidden/>
              </w:rPr>
              <w:instrText xml:space="preserve"> PAGEREF _Toc114465549 \h </w:instrText>
            </w:r>
            <w:r>
              <w:rPr>
                <w:noProof/>
                <w:webHidden/>
              </w:rPr>
            </w:r>
            <w:r>
              <w:rPr>
                <w:noProof/>
                <w:webHidden/>
              </w:rPr>
              <w:fldChar w:fldCharType="separate"/>
            </w:r>
            <w:r w:rsidR="008C6AF1">
              <w:rPr>
                <w:noProof/>
                <w:webHidden/>
              </w:rPr>
              <w:t>2</w:t>
            </w:r>
            <w:r>
              <w:rPr>
                <w:noProof/>
                <w:webHidden/>
              </w:rPr>
              <w:fldChar w:fldCharType="end"/>
            </w:r>
          </w:hyperlink>
        </w:p>
        <w:p w14:paraId="70EEA56F" w14:textId="5537FB03" w:rsidR="00941D68" w:rsidRDefault="00941D68" w:rsidP="00941D68">
          <w:pPr>
            <w:pStyle w:val="TOC1"/>
            <w:rPr>
              <w:rFonts w:asciiTheme="minorHAnsi" w:eastAsiaTheme="minorEastAsia" w:hAnsiTheme="minorHAnsi"/>
              <w:noProof/>
              <w:sz w:val="22"/>
              <w:szCs w:val="22"/>
              <w:lang w:val="en-AU" w:eastAsia="en-AU"/>
            </w:rPr>
          </w:pPr>
          <w:hyperlink w:anchor="_Toc114465550" w:history="1">
            <w:r w:rsidRPr="004C5443">
              <w:rPr>
                <w:rStyle w:val="Hyperlink"/>
                <w:noProof/>
              </w:rPr>
              <w:t>1.4</w:t>
            </w:r>
            <w:r>
              <w:rPr>
                <w:rFonts w:asciiTheme="minorHAnsi" w:eastAsiaTheme="minorEastAsia" w:hAnsiTheme="minorHAnsi"/>
                <w:noProof/>
                <w:sz w:val="22"/>
                <w:szCs w:val="22"/>
                <w:lang w:val="en-AU" w:eastAsia="en-AU"/>
              </w:rPr>
              <w:tab/>
            </w:r>
            <w:r w:rsidRPr="004C5443">
              <w:rPr>
                <w:rStyle w:val="Hyperlink"/>
                <w:noProof/>
              </w:rPr>
              <w:t>Contracting of third party service providers</w:t>
            </w:r>
            <w:r>
              <w:rPr>
                <w:noProof/>
                <w:webHidden/>
              </w:rPr>
              <w:tab/>
            </w:r>
            <w:r>
              <w:rPr>
                <w:noProof/>
                <w:webHidden/>
              </w:rPr>
              <w:fldChar w:fldCharType="begin"/>
            </w:r>
            <w:r>
              <w:rPr>
                <w:noProof/>
                <w:webHidden/>
              </w:rPr>
              <w:instrText xml:space="preserve"> PAGEREF _Toc114465550 \h </w:instrText>
            </w:r>
            <w:r>
              <w:rPr>
                <w:noProof/>
                <w:webHidden/>
              </w:rPr>
            </w:r>
            <w:r>
              <w:rPr>
                <w:noProof/>
                <w:webHidden/>
              </w:rPr>
              <w:fldChar w:fldCharType="separate"/>
            </w:r>
            <w:r w:rsidR="008C6AF1">
              <w:rPr>
                <w:noProof/>
                <w:webHidden/>
              </w:rPr>
              <w:t>3</w:t>
            </w:r>
            <w:r>
              <w:rPr>
                <w:noProof/>
                <w:webHidden/>
              </w:rPr>
              <w:fldChar w:fldCharType="end"/>
            </w:r>
          </w:hyperlink>
        </w:p>
        <w:p w14:paraId="0E4D8EE2" w14:textId="693CFA64" w:rsidR="00941D68" w:rsidRDefault="00941D68" w:rsidP="00941D68">
          <w:pPr>
            <w:pStyle w:val="TOC1"/>
            <w:rPr>
              <w:rFonts w:asciiTheme="minorHAnsi" w:eastAsiaTheme="minorEastAsia" w:hAnsiTheme="minorHAnsi"/>
              <w:noProof/>
              <w:sz w:val="22"/>
              <w:szCs w:val="22"/>
              <w:lang w:val="en-AU" w:eastAsia="en-AU"/>
            </w:rPr>
          </w:pPr>
          <w:hyperlink w:anchor="_Toc114465551" w:history="1">
            <w:r w:rsidRPr="004C5443">
              <w:rPr>
                <w:rStyle w:val="Hyperlink"/>
                <w:noProof/>
              </w:rPr>
              <w:t>1.5</w:t>
            </w:r>
            <w:r>
              <w:rPr>
                <w:rFonts w:asciiTheme="minorHAnsi" w:eastAsiaTheme="minorEastAsia" w:hAnsiTheme="minorHAnsi"/>
                <w:noProof/>
                <w:sz w:val="22"/>
                <w:szCs w:val="22"/>
                <w:lang w:val="en-AU" w:eastAsia="en-AU"/>
              </w:rPr>
              <w:tab/>
            </w:r>
            <w:r w:rsidRPr="004C5443">
              <w:rPr>
                <w:rStyle w:val="Hyperlink"/>
                <w:noProof/>
              </w:rPr>
              <w:t>Record keeping systems</w:t>
            </w:r>
            <w:r>
              <w:rPr>
                <w:noProof/>
                <w:webHidden/>
              </w:rPr>
              <w:tab/>
            </w:r>
            <w:r>
              <w:rPr>
                <w:noProof/>
                <w:webHidden/>
              </w:rPr>
              <w:fldChar w:fldCharType="begin"/>
            </w:r>
            <w:r>
              <w:rPr>
                <w:noProof/>
                <w:webHidden/>
              </w:rPr>
              <w:instrText xml:space="preserve"> PAGEREF _Toc114465551 \h </w:instrText>
            </w:r>
            <w:r>
              <w:rPr>
                <w:noProof/>
                <w:webHidden/>
              </w:rPr>
            </w:r>
            <w:r>
              <w:rPr>
                <w:noProof/>
                <w:webHidden/>
              </w:rPr>
              <w:fldChar w:fldCharType="separate"/>
            </w:r>
            <w:r w:rsidR="008C6AF1">
              <w:rPr>
                <w:noProof/>
                <w:webHidden/>
              </w:rPr>
              <w:t>3</w:t>
            </w:r>
            <w:r>
              <w:rPr>
                <w:noProof/>
                <w:webHidden/>
              </w:rPr>
              <w:fldChar w:fldCharType="end"/>
            </w:r>
          </w:hyperlink>
        </w:p>
        <w:p w14:paraId="506F3BCF" w14:textId="45379F52" w:rsidR="00941D68" w:rsidRDefault="00941D68" w:rsidP="00941D68">
          <w:pPr>
            <w:pStyle w:val="TOC1"/>
            <w:rPr>
              <w:rFonts w:asciiTheme="minorHAnsi" w:eastAsiaTheme="minorEastAsia" w:hAnsiTheme="minorHAnsi"/>
              <w:noProof/>
              <w:sz w:val="22"/>
              <w:szCs w:val="22"/>
              <w:lang w:val="en-AU" w:eastAsia="en-AU"/>
            </w:rPr>
          </w:pPr>
          <w:hyperlink w:anchor="_Toc114465552" w:history="1">
            <w:r w:rsidRPr="004C5443">
              <w:rPr>
                <w:rStyle w:val="Hyperlink"/>
                <w:noProof/>
              </w:rPr>
              <w:t>1.6</w:t>
            </w:r>
            <w:r>
              <w:rPr>
                <w:rFonts w:asciiTheme="minorHAnsi" w:eastAsiaTheme="minorEastAsia" w:hAnsiTheme="minorHAnsi"/>
                <w:noProof/>
                <w:sz w:val="22"/>
                <w:szCs w:val="22"/>
                <w:lang w:val="en-AU" w:eastAsia="en-AU"/>
              </w:rPr>
              <w:tab/>
            </w:r>
            <w:r w:rsidRPr="004C5443">
              <w:rPr>
                <w:rStyle w:val="Hyperlink"/>
                <w:noProof/>
              </w:rPr>
              <w:t>Maintaining gaming records</w:t>
            </w:r>
            <w:r>
              <w:rPr>
                <w:noProof/>
                <w:webHidden/>
              </w:rPr>
              <w:tab/>
            </w:r>
            <w:r>
              <w:rPr>
                <w:noProof/>
                <w:webHidden/>
              </w:rPr>
              <w:fldChar w:fldCharType="begin"/>
            </w:r>
            <w:r>
              <w:rPr>
                <w:noProof/>
                <w:webHidden/>
              </w:rPr>
              <w:instrText xml:space="preserve"> PAGEREF _Toc114465552 \h </w:instrText>
            </w:r>
            <w:r>
              <w:rPr>
                <w:noProof/>
                <w:webHidden/>
              </w:rPr>
            </w:r>
            <w:r>
              <w:rPr>
                <w:noProof/>
                <w:webHidden/>
              </w:rPr>
              <w:fldChar w:fldCharType="separate"/>
            </w:r>
            <w:r w:rsidR="008C6AF1">
              <w:rPr>
                <w:noProof/>
                <w:webHidden/>
              </w:rPr>
              <w:t>3</w:t>
            </w:r>
            <w:r>
              <w:rPr>
                <w:noProof/>
                <w:webHidden/>
              </w:rPr>
              <w:fldChar w:fldCharType="end"/>
            </w:r>
          </w:hyperlink>
        </w:p>
        <w:p w14:paraId="56564785" w14:textId="3B33A162" w:rsidR="00941D68" w:rsidRDefault="00941D68" w:rsidP="00941D68">
          <w:pPr>
            <w:pStyle w:val="TOC1"/>
            <w:rPr>
              <w:rFonts w:asciiTheme="minorHAnsi" w:eastAsiaTheme="minorEastAsia" w:hAnsiTheme="minorHAnsi"/>
              <w:noProof/>
              <w:sz w:val="22"/>
              <w:szCs w:val="22"/>
              <w:lang w:val="en-AU" w:eastAsia="en-AU"/>
            </w:rPr>
          </w:pPr>
          <w:hyperlink w:anchor="_Toc114465553" w:history="1">
            <w:r w:rsidRPr="004C5443">
              <w:rPr>
                <w:rStyle w:val="Hyperlink"/>
                <w:noProof/>
              </w:rPr>
              <w:t>1.7</w:t>
            </w:r>
            <w:r>
              <w:rPr>
                <w:rFonts w:asciiTheme="minorHAnsi" w:eastAsiaTheme="minorEastAsia" w:hAnsiTheme="minorHAnsi"/>
                <w:noProof/>
                <w:sz w:val="22"/>
                <w:szCs w:val="22"/>
                <w:lang w:val="en-AU" w:eastAsia="en-AU"/>
              </w:rPr>
              <w:tab/>
            </w:r>
            <w:r w:rsidRPr="004C5443">
              <w:rPr>
                <w:rStyle w:val="Hyperlink"/>
                <w:noProof/>
              </w:rPr>
              <w:t>Maintenance of separate gaming bank accounts</w:t>
            </w:r>
            <w:r>
              <w:rPr>
                <w:noProof/>
                <w:webHidden/>
              </w:rPr>
              <w:tab/>
            </w:r>
            <w:r>
              <w:rPr>
                <w:noProof/>
                <w:webHidden/>
              </w:rPr>
              <w:fldChar w:fldCharType="begin"/>
            </w:r>
            <w:r>
              <w:rPr>
                <w:noProof/>
                <w:webHidden/>
              </w:rPr>
              <w:instrText xml:space="preserve"> PAGEREF _Toc114465553 \h </w:instrText>
            </w:r>
            <w:r>
              <w:rPr>
                <w:noProof/>
                <w:webHidden/>
              </w:rPr>
            </w:r>
            <w:r>
              <w:rPr>
                <w:noProof/>
                <w:webHidden/>
              </w:rPr>
              <w:fldChar w:fldCharType="separate"/>
            </w:r>
            <w:r w:rsidR="008C6AF1">
              <w:rPr>
                <w:noProof/>
                <w:webHidden/>
              </w:rPr>
              <w:t>3</w:t>
            </w:r>
            <w:r>
              <w:rPr>
                <w:noProof/>
                <w:webHidden/>
              </w:rPr>
              <w:fldChar w:fldCharType="end"/>
            </w:r>
          </w:hyperlink>
        </w:p>
        <w:p w14:paraId="4702928E" w14:textId="3F882C02" w:rsidR="00941D68" w:rsidRDefault="00941D68" w:rsidP="00941D68">
          <w:pPr>
            <w:pStyle w:val="TOC1"/>
            <w:rPr>
              <w:rFonts w:asciiTheme="minorHAnsi" w:eastAsiaTheme="minorEastAsia" w:hAnsiTheme="minorHAnsi"/>
              <w:noProof/>
              <w:sz w:val="22"/>
              <w:szCs w:val="22"/>
              <w:lang w:val="en-AU" w:eastAsia="en-AU"/>
            </w:rPr>
          </w:pPr>
          <w:hyperlink w:anchor="_Toc114465554" w:history="1">
            <w:r w:rsidRPr="004C5443">
              <w:rPr>
                <w:rStyle w:val="Hyperlink"/>
                <w:noProof/>
              </w:rPr>
              <w:t>1.8</w:t>
            </w:r>
            <w:r>
              <w:rPr>
                <w:rFonts w:asciiTheme="minorHAnsi" w:eastAsiaTheme="minorEastAsia" w:hAnsiTheme="minorHAnsi"/>
                <w:noProof/>
                <w:sz w:val="22"/>
                <w:szCs w:val="22"/>
                <w:lang w:val="en-AU" w:eastAsia="en-AU"/>
              </w:rPr>
              <w:tab/>
            </w:r>
            <w:r w:rsidRPr="004C5443">
              <w:rPr>
                <w:rStyle w:val="Hyperlink"/>
                <w:noProof/>
              </w:rPr>
              <w:t>Registration of nominated ban account for sweeping of gaming tax by the Commission</w:t>
            </w:r>
            <w:r>
              <w:rPr>
                <w:noProof/>
                <w:webHidden/>
              </w:rPr>
              <w:tab/>
            </w:r>
            <w:r>
              <w:rPr>
                <w:noProof/>
                <w:webHidden/>
              </w:rPr>
              <w:fldChar w:fldCharType="begin"/>
            </w:r>
            <w:r>
              <w:rPr>
                <w:noProof/>
                <w:webHidden/>
              </w:rPr>
              <w:instrText xml:space="preserve"> PAGEREF _Toc114465554 \h </w:instrText>
            </w:r>
            <w:r>
              <w:rPr>
                <w:noProof/>
                <w:webHidden/>
              </w:rPr>
            </w:r>
            <w:r>
              <w:rPr>
                <w:noProof/>
                <w:webHidden/>
              </w:rPr>
              <w:fldChar w:fldCharType="separate"/>
            </w:r>
            <w:r w:rsidR="008C6AF1">
              <w:rPr>
                <w:noProof/>
                <w:webHidden/>
              </w:rPr>
              <w:t>4</w:t>
            </w:r>
            <w:r>
              <w:rPr>
                <w:noProof/>
                <w:webHidden/>
              </w:rPr>
              <w:fldChar w:fldCharType="end"/>
            </w:r>
          </w:hyperlink>
        </w:p>
        <w:p w14:paraId="48BD383D" w14:textId="1E5BE439" w:rsidR="00941D68" w:rsidRDefault="00941D68" w:rsidP="00941D68">
          <w:pPr>
            <w:pStyle w:val="TOC1"/>
            <w:rPr>
              <w:rFonts w:asciiTheme="minorHAnsi" w:eastAsiaTheme="minorEastAsia" w:hAnsiTheme="minorHAnsi"/>
              <w:noProof/>
              <w:sz w:val="22"/>
              <w:szCs w:val="22"/>
              <w:lang w:val="en-AU" w:eastAsia="en-AU"/>
            </w:rPr>
          </w:pPr>
          <w:hyperlink w:anchor="_Toc114465555" w:history="1">
            <w:r w:rsidRPr="004C5443">
              <w:rPr>
                <w:rStyle w:val="Hyperlink"/>
                <w:noProof/>
              </w:rPr>
              <w:t>1.9</w:t>
            </w:r>
            <w:r>
              <w:rPr>
                <w:rFonts w:asciiTheme="minorHAnsi" w:eastAsiaTheme="minorEastAsia" w:hAnsiTheme="minorHAnsi"/>
                <w:noProof/>
                <w:sz w:val="22"/>
                <w:szCs w:val="22"/>
                <w:lang w:val="en-AU" w:eastAsia="en-AU"/>
              </w:rPr>
              <w:tab/>
            </w:r>
            <w:r w:rsidRPr="004C5443">
              <w:rPr>
                <w:rStyle w:val="Hyperlink"/>
                <w:noProof/>
              </w:rPr>
              <w:t>Change in gaming venue operator</w:t>
            </w:r>
            <w:r>
              <w:rPr>
                <w:noProof/>
                <w:webHidden/>
              </w:rPr>
              <w:tab/>
            </w:r>
            <w:r>
              <w:rPr>
                <w:noProof/>
                <w:webHidden/>
              </w:rPr>
              <w:fldChar w:fldCharType="begin"/>
            </w:r>
            <w:r>
              <w:rPr>
                <w:noProof/>
                <w:webHidden/>
              </w:rPr>
              <w:instrText xml:space="preserve"> PAGEREF _Toc114465555 \h </w:instrText>
            </w:r>
            <w:r>
              <w:rPr>
                <w:noProof/>
                <w:webHidden/>
              </w:rPr>
            </w:r>
            <w:r>
              <w:rPr>
                <w:noProof/>
                <w:webHidden/>
              </w:rPr>
              <w:fldChar w:fldCharType="separate"/>
            </w:r>
            <w:r w:rsidR="008C6AF1">
              <w:rPr>
                <w:noProof/>
                <w:webHidden/>
              </w:rPr>
              <w:t>4</w:t>
            </w:r>
            <w:r>
              <w:rPr>
                <w:noProof/>
                <w:webHidden/>
              </w:rPr>
              <w:fldChar w:fldCharType="end"/>
            </w:r>
          </w:hyperlink>
        </w:p>
        <w:p w14:paraId="1E235028" w14:textId="6716D197" w:rsidR="00941D68" w:rsidRPr="00941D68" w:rsidRDefault="00941D68" w:rsidP="00941D68">
          <w:pPr>
            <w:pStyle w:val="TOC1"/>
            <w:rPr>
              <w:rFonts w:asciiTheme="minorHAnsi" w:eastAsiaTheme="minorEastAsia" w:hAnsiTheme="minorHAnsi"/>
              <w:b/>
              <w:bCs/>
              <w:noProof/>
              <w:sz w:val="22"/>
              <w:szCs w:val="22"/>
              <w:lang w:val="en-AU" w:eastAsia="en-AU"/>
            </w:rPr>
          </w:pPr>
          <w:hyperlink w:anchor="_Toc114465556" w:history="1">
            <w:r w:rsidRPr="00941D68">
              <w:rPr>
                <w:rStyle w:val="Hyperlink"/>
                <w:b/>
                <w:bCs/>
                <w:noProof/>
              </w:rPr>
              <w:t>2</w:t>
            </w:r>
            <w:r w:rsidRPr="00941D68">
              <w:rPr>
                <w:rFonts w:asciiTheme="minorHAnsi" w:eastAsiaTheme="minorEastAsia" w:hAnsiTheme="minorHAnsi"/>
                <w:b/>
                <w:bCs/>
                <w:noProof/>
                <w:sz w:val="22"/>
                <w:szCs w:val="22"/>
                <w:lang w:val="en-AU" w:eastAsia="en-AU"/>
              </w:rPr>
              <w:tab/>
            </w:r>
            <w:r w:rsidRPr="00941D68">
              <w:rPr>
                <w:rStyle w:val="Hyperlink"/>
                <w:b/>
                <w:bCs/>
                <w:noProof/>
              </w:rPr>
              <w:t>Gaming reconciliation requirements</w:t>
            </w:r>
            <w:r w:rsidRPr="00941D68">
              <w:rPr>
                <w:b/>
                <w:bCs/>
                <w:noProof/>
                <w:webHidden/>
              </w:rPr>
              <w:tab/>
            </w:r>
            <w:r w:rsidRPr="00941D68">
              <w:rPr>
                <w:b/>
                <w:bCs/>
                <w:noProof/>
                <w:webHidden/>
              </w:rPr>
              <w:fldChar w:fldCharType="begin"/>
            </w:r>
            <w:r w:rsidRPr="00941D68">
              <w:rPr>
                <w:b/>
                <w:bCs/>
                <w:noProof/>
                <w:webHidden/>
              </w:rPr>
              <w:instrText xml:space="preserve"> PAGEREF _Toc114465556 \h </w:instrText>
            </w:r>
            <w:r w:rsidRPr="00941D68">
              <w:rPr>
                <w:b/>
                <w:bCs/>
                <w:noProof/>
                <w:webHidden/>
              </w:rPr>
            </w:r>
            <w:r w:rsidRPr="00941D68">
              <w:rPr>
                <w:b/>
                <w:bCs/>
                <w:noProof/>
                <w:webHidden/>
              </w:rPr>
              <w:fldChar w:fldCharType="separate"/>
            </w:r>
            <w:r w:rsidR="008C6AF1">
              <w:rPr>
                <w:b/>
                <w:bCs/>
                <w:noProof/>
                <w:webHidden/>
              </w:rPr>
              <w:t>6</w:t>
            </w:r>
            <w:r w:rsidRPr="00941D68">
              <w:rPr>
                <w:b/>
                <w:bCs/>
                <w:noProof/>
                <w:webHidden/>
              </w:rPr>
              <w:fldChar w:fldCharType="end"/>
            </w:r>
          </w:hyperlink>
        </w:p>
        <w:p w14:paraId="4BC6D9C2" w14:textId="782F11DA" w:rsidR="00941D68" w:rsidRDefault="00941D68" w:rsidP="00941D68">
          <w:pPr>
            <w:pStyle w:val="TOC1"/>
            <w:rPr>
              <w:rFonts w:asciiTheme="minorHAnsi" w:eastAsiaTheme="minorEastAsia" w:hAnsiTheme="minorHAnsi"/>
              <w:noProof/>
              <w:sz w:val="22"/>
              <w:szCs w:val="22"/>
              <w:lang w:val="en-AU" w:eastAsia="en-AU"/>
            </w:rPr>
          </w:pPr>
          <w:hyperlink w:anchor="_Toc114465557" w:history="1">
            <w:r w:rsidRPr="004C5443">
              <w:rPr>
                <w:rStyle w:val="Hyperlink"/>
                <w:noProof/>
              </w:rPr>
              <w:t>2.1</w:t>
            </w:r>
            <w:r>
              <w:rPr>
                <w:rFonts w:asciiTheme="minorHAnsi" w:eastAsiaTheme="minorEastAsia" w:hAnsiTheme="minorHAnsi"/>
                <w:noProof/>
                <w:sz w:val="22"/>
                <w:szCs w:val="22"/>
                <w:lang w:val="en-AU" w:eastAsia="en-AU"/>
              </w:rPr>
              <w:tab/>
            </w:r>
            <w:r w:rsidRPr="004C5443">
              <w:rPr>
                <w:rStyle w:val="Hyperlink"/>
                <w:noProof/>
              </w:rPr>
              <w:t>Electronic gaming machine data recording and reporting</w:t>
            </w:r>
            <w:r>
              <w:rPr>
                <w:noProof/>
                <w:webHidden/>
              </w:rPr>
              <w:tab/>
            </w:r>
            <w:r>
              <w:rPr>
                <w:noProof/>
                <w:webHidden/>
              </w:rPr>
              <w:fldChar w:fldCharType="begin"/>
            </w:r>
            <w:r>
              <w:rPr>
                <w:noProof/>
                <w:webHidden/>
              </w:rPr>
              <w:instrText xml:space="preserve"> PAGEREF _Toc114465557 \h </w:instrText>
            </w:r>
            <w:r>
              <w:rPr>
                <w:noProof/>
                <w:webHidden/>
              </w:rPr>
            </w:r>
            <w:r>
              <w:rPr>
                <w:noProof/>
                <w:webHidden/>
              </w:rPr>
              <w:fldChar w:fldCharType="separate"/>
            </w:r>
            <w:r w:rsidR="008C6AF1">
              <w:rPr>
                <w:noProof/>
                <w:webHidden/>
              </w:rPr>
              <w:t>6</w:t>
            </w:r>
            <w:r>
              <w:rPr>
                <w:noProof/>
                <w:webHidden/>
              </w:rPr>
              <w:fldChar w:fldCharType="end"/>
            </w:r>
          </w:hyperlink>
        </w:p>
        <w:p w14:paraId="269CCF67" w14:textId="0D0C9903" w:rsidR="00941D68" w:rsidRDefault="00941D68" w:rsidP="00941D68">
          <w:pPr>
            <w:pStyle w:val="TOC1"/>
            <w:rPr>
              <w:rFonts w:asciiTheme="minorHAnsi" w:eastAsiaTheme="minorEastAsia" w:hAnsiTheme="minorHAnsi"/>
              <w:noProof/>
              <w:sz w:val="22"/>
              <w:szCs w:val="22"/>
              <w:lang w:val="en-AU" w:eastAsia="en-AU"/>
            </w:rPr>
          </w:pPr>
          <w:hyperlink w:anchor="_Toc114465558" w:history="1">
            <w:r w:rsidRPr="004C5443">
              <w:rPr>
                <w:rStyle w:val="Hyperlink"/>
                <w:noProof/>
              </w:rPr>
              <w:t>2.2</w:t>
            </w:r>
            <w:r>
              <w:rPr>
                <w:rFonts w:asciiTheme="minorHAnsi" w:eastAsiaTheme="minorEastAsia" w:hAnsiTheme="minorHAnsi"/>
                <w:noProof/>
                <w:sz w:val="22"/>
                <w:szCs w:val="22"/>
                <w:lang w:val="en-AU" w:eastAsia="en-AU"/>
              </w:rPr>
              <w:tab/>
            </w:r>
            <w:r w:rsidRPr="004C5443">
              <w:rPr>
                <w:rStyle w:val="Hyperlink"/>
                <w:noProof/>
              </w:rPr>
              <w:t>Data analysis and adjustments</w:t>
            </w:r>
            <w:r>
              <w:rPr>
                <w:noProof/>
                <w:webHidden/>
              </w:rPr>
              <w:tab/>
            </w:r>
            <w:r>
              <w:rPr>
                <w:noProof/>
                <w:webHidden/>
              </w:rPr>
              <w:fldChar w:fldCharType="begin"/>
            </w:r>
            <w:r>
              <w:rPr>
                <w:noProof/>
                <w:webHidden/>
              </w:rPr>
              <w:instrText xml:space="preserve"> PAGEREF _Toc114465558 \h </w:instrText>
            </w:r>
            <w:r>
              <w:rPr>
                <w:noProof/>
                <w:webHidden/>
              </w:rPr>
            </w:r>
            <w:r>
              <w:rPr>
                <w:noProof/>
                <w:webHidden/>
              </w:rPr>
              <w:fldChar w:fldCharType="separate"/>
            </w:r>
            <w:r w:rsidR="008C6AF1">
              <w:rPr>
                <w:noProof/>
                <w:webHidden/>
              </w:rPr>
              <w:t>7</w:t>
            </w:r>
            <w:r>
              <w:rPr>
                <w:noProof/>
                <w:webHidden/>
              </w:rPr>
              <w:fldChar w:fldCharType="end"/>
            </w:r>
          </w:hyperlink>
        </w:p>
        <w:p w14:paraId="68CD79C8" w14:textId="174685C1" w:rsidR="00941D68" w:rsidRDefault="00941D68" w:rsidP="00941D68">
          <w:pPr>
            <w:pStyle w:val="TOC1"/>
            <w:rPr>
              <w:rFonts w:asciiTheme="minorHAnsi" w:eastAsiaTheme="minorEastAsia" w:hAnsiTheme="minorHAnsi"/>
              <w:noProof/>
              <w:sz w:val="22"/>
              <w:szCs w:val="22"/>
              <w:lang w:val="en-AU" w:eastAsia="en-AU"/>
            </w:rPr>
          </w:pPr>
          <w:hyperlink w:anchor="_Toc114465559" w:history="1">
            <w:r w:rsidRPr="004C5443">
              <w:rPr>
                <w:rStyle w:val="Hyperlink"/>
                <w:noProof/>
              </w:rPr>
              <w:t>2.3</w:t>
            </w:r>
            <w:r>
              <w:rPr>
                <w:rFonts w:asciiTheme="minorHAnsi" w:eastAsiaTheme="minorEastAsia" w:hAnsiTheme="minorHAnsi"/>
                <w:noProof/>
                <w:sz w:val="22"/>
                <w:szCs w:val="22"/>
                <w:lang w:val="en-AU" w:eastAsia="en-AU"/>
              </w:rPr>
              <w:tab/>
            </w:r>
            <w:r w:rsidRPr="004C5443">
              <w:rPr>
                <w:rStyle w:val="Hyperlink"/>
                <w:noProof/>
              </w:rPr>
              <w:t>Gaming reconciliations</w:t>
            </w:r>
            <w:r>
              <w:rPr>
                <w:noProof/>
                <w:webHidden/>
              </w:rPr>
              <w:tab/>
            </w:r>
            <w:r>
              <w:rPr>
                <w:noProof/>
                <w:webHidden/>
              </w:rPr>
              <w:fldChar w:fldCharType="begin"/>
            </w:r>
            <w:r>
              <w:rPr>
                <w:noProof/>
                <w:webHidden/>
              </w:rPr>
              <w:instrText xml:space="preserve"> PAGEREF _Toc114465559 \h </w:instrText>
            </w:r>
            <w:r>
              <w:rPr>
                <w:noProof/>
                <w:webHidden/>
              </w:rPr>
            </w:r>
            <w:r>
              <w:rPr>
                <w:noProof/>
                <w:webHidden/>
              </w:rPr>
              <w:fldChar w:fldCharType="separate"/>
            </w:r>
            <w:r w:rsidR="008C6AF1">
              <w:rPr>
                <w:noProof/>
                <w:webHidden/>
              </w:rPr>
              <w:t>11</w:t>
            </w:r>
            <w:r>
              <w:rPr>
                <w:noProof/>
                <w:webHidden/>
              </w:rPr>
              <w:fldChar w:fldCharType="end"/>
            </w:r>
          </w:hyperlink>
        </w:p>
        <w:p w14:paraId="2DC5E5EB" w14:textId="38B37F4C" w:rsidR="00941D68" w:rsidRDefault="00941D68" w:rsidP="00941D68">
          <w:pPr>
            <w:pStyle w:val="TOC1"/>
            <w:rPr>
              <w:rFonts w:asciiTheme="minorHAnsi" w:eastAsiaTheme="minorEastAsia" w:hAnsiTheme="minorHAnsi"/>
              <w:noProof/>
              <w:sz w:val="22"/>
              <w:szCs w:val="22"/>
              <w:lang w:val="en-AU" w:eastAsia="en-AU"/>
            </w:rPr>
          </w:pPr>
          <w:hyperlink w:anchor="_Toc114465560" w:history="1">
            <w:r w:rsidRPr="004C5443">
              <w:rPr>
                <w:rStyle w:val="Hyperlink"/>
                <w:noProof/>
              </w:rPr>
              <w:t>2.4</w:t>
            </w:r>
            <w:r>
              <w:rPr>
                <w:rFonts w:asciiTheme="minorHAnsi" w:eastAsiaTheme="minorEastAsia" w:hAnsiTheme="minorHAnsi"/>
                <w:noProof/>
                <w:sz w:val="22"/>
                <w:szCs w:val="22"/>
                <w:lang w:val="en-AU" w:eastAsia="en-AU"/>
              </w:rPr>
              <w:tab/>
            </w:r>
            <w:r w:rsidRPr="004C5443">
              <w:rPr>
                <w:rStyle w:val="Hyperlink"/>
                <w:noProof/>
              </w:rPr>
              <w:t>Cash/ticket handling and collection</w:t>
            </w:r>
            <w:r>
              <w:rPr>
                <w:noProof/>
                <w:webHidden/>
              </w:rPr>
              <w:tab/>
            </w:r>
            <w:r>
              <w:rPr>
                <w:noProof/>
                <w:webHidden/>
              </w:rPr>
              <w:fldChar w:fldCharType="begin"/>
            </w:r>
            <w:r>
              <w:rPr>
                <w:noProof/>
                <w:webHidden/>
              </w:rPr>
              <w:instrText xml:space="preserve"> PAGEREF _Toc114465560 \h </w:instrText>
            </w:r>
            <w:r>
              <w:rPr>
                <w:noProof/>
                <w:webHidden/>
              </w:rPr>
            </w:r>
            <w:r>
              <w:rPr>
                <w:noProof/>
                <w:webHidden/>
              </w:rPr>
              <w:fldChar w:fldCharType="separate"/>
            </w:r>
            <w:r w:rsidR="008C6AF1">
              <w:rPr>
                <w:noProof/>
                <w:webHidden/>
              </w:rPr>
              <w:t>13</w:t>
            </w:r>
            <w:r>
              <w:rPr>
                <w:noProof/>
                <w:webHidden/>
              </w:rPr>
              <w:fldChar w:fldCharType="end"/>
            </w:r>
          </w:hyperlink>
        </w:p>
        <w:p w14:paraId="1C12304E" w14:textId="52A9BB9E" w:rsidR="00941D68" w:rsidRDefault="00941D68" w:rsidP="00941D68">
          <w:pPr>
            <w:pStyle w:val="TOC1"/>
            <w:rPr>
              <w:rFonts w:asciiTheme="minorHAnsi" w:eastAsiaTheme="minorEastAsia" w:hAnsiTheme="minorHAnsi"/>
              <w:noProof/>
              <w:sz w:val="22"/>
              <w:szCs w:val="22"/>
              <w:lang w:val="en-AU" w:eastAsia="en-AU"/>
            </w:rPr>
          </w:pPr>
          <w:hyperlink w:anchor="_Toc114465561" w:history="1">
            <w:r w:rsidRPr="004C5443">
              <w:rPr>
                <w:rStyle w:val="Hyperlink"/>
                <w:noProof/>
              </w:rPr>
              <w:t>2.5</w:t>
            </w:r>
            <w:r>
              <w:rPr>
                <w:rFonts w:asciiTheme="minorHAnsi" w:eastAsiaTheme="minorEastAsia" w:hAnsiTheme="minorHAnsi"/>
                <w:noProof/>
                <w:sz w:val="22"/>
                <w:szCs w:val="22"/>
                <w:lang w:val="en-AU" w:eastAsia="en-AU"/>
              </w:rPr>
              <w:tab/>
            </w:r>
            <w:r w:rsidRPr="004C5443">
              <w:rPr>
                <w:rStyle w:val="Hyperlink"/>
                <w:noProof/>
              </w:rPr>
              <w:t>Jackpot monitoring and reconciliations</w:t>
            </w:r>
            <w:r>
              <w:rPr>
                <w:noProof/>
                <w:webHidden/>
              </w:rPr>
              <w:tab/>
            </w:r>
            <w:r>
              <w:rPr>
                <w:noProof/>
                <w:webHidden/>
              </w:rPr>
              <w:fldChar w:fldCharType="begin"/>
            </w:r>
            <w:r>
              <w:rPr>
                <w:noProof/>
                <w:webHidden/>
              </w:rPr>
              <w:instrText xml:space="preserve"> PAGEREF _Toc114465561 \h </w:instrText>
            </w:r>
            <w:r>
              <w:rPr>
                <w:noProof/>
                <w:webHidden/>
              </w:rPr>
            </w:r>
            <w:r>
              <w:rPr>
                <w:noProof/>
                <w:webHidden/>
              </w:rPr>
              <w:fldChar w:fldCharType="separate"/>
            </w:r>
            <w:r w:rsidR="008C6AF1">
              <w:rPr>
                <w:noProof/>
                <w:webHidden/>
              </w:rPr>
              <w:t>13</w:t>
            </w:r>
            <w:r>
              <w:rPr>
                <w:noProof/>
                <w:webHidden/>
              </w:rPr>
              <w:fldChar w:fldCharType="end"/>
            </w:r>
          </w:hyperlink>
        </w:p>
        <w:p w14:paraId="00D3E234" w14:textId="20A91D76" w:rsidR="00941D68" w:rsidRPr="00941D68" w:rsidRDefault="00941D68" w:rsidP="00941D68">
          <w:pPr>
            <w:pStyle w:val="TOC1"/>
            <w:rPr>
              <w:rFonts w:asciiTheme="minorHAnsi" w:eastAsiaTheme="minorEastAsia" w:hAnsiTheme="minorHAnsi"/>
              <w:b/>
              <w:bCs/>
              <w:noProof/>
              <w:sz w:val="22"/>
              <w:szCs w:val="22"/>
              <w:lang w:val="en-AU" w:eastAsia="en-AU"/>
            </w:rPr>
          </w:pPr>
          <w:hyperlink w:anchor="_Toc114465562" w:history="1">
            <w:r w:rsidRPr="00941D68">
              <w:rPr>
                <w:rStyle w:val="Hyperlink"/>
                <w:b/>
                <w:bCs/>
                <w:noProof/>
              </w:rPr>
              <w:t>3</w:t>
            </w:r>
            <w:r w:rsidRPr="00941D68">
              <w:rPr>
                <w:rFonts w:asciiTheme="minorHAnsi" w:eastAsiaTheme="minorEastAsia" w:hAnsiTheme="minorHAnsi"/>
                <w:b/>
                <w:bCs/>
                <w:noProof/>
                <w:sz w:val="22"/>
                <w:szCs w:val="22"/>
                <w:lang w:val="en-AU" w:eastAsia="en-AU"/>
              </w:rPr>
              <w:tab/>
            </w:r>
            <w:r w:rsidRPr="00941D68">
              <w:rPr>
                <w:rStyle w:val="Hyperlink"/>
                <w:b/>
                <w:bCs/>
                <w:noProof/>
              </w:rPr>
              <w:t>Gaming taxes</w:t>
            </w:r>
            <w:r w:rsidRPr="00941D68">
              <w:rPr>
                <w:b/>
                <w:bCs/>
                <w:noProof/>
                <w:webHidden/>
              </w:rPr>
              <w:tab/>
            </w:r>
            <w:r w:rsidRPr="00941D68">
              <w:rPr>
                <w:b/>
                <w:bCs/>
                <w:noProof/>
                <w:webHidden/>
              </w:rPr>
              <w:fldChar w:fldCharType="begin"/>
            </w:r>
            <w:r w:rsidRPr="00941D68">
              <w:rPr>
                <w:b/>
                <w:bCs/>
                <w:noProof/>
                <w:webHidden/>
              </w:rPr>
              <w:instrText xml:space="preserve"> PAGEREF _Toc114465562 \h </w:instrText>
            </w:r>
            <w:r w:rsidRPr="00941D68">
              <w:rPr>
                <w:b/>
                <w:bCs/>
                <w:noProof/>
                <w:webHidden/>
              </w:rPr>
            </w:r>
            <w:r w:rsidRPr="00941D68">
              <w:rPr>
                <w:b/>
                <w:bCs/>
                <w:noProof/>
                <w:webHidden/>
              </w:rPr>
              <w:fldChar w:fldCharType="separate"/>
            </w:r>
            <w:r w:rsidR="008C6AF1">
              <w:rPr>
                <w:b/>
                <w:bCs/>
                <w:noProof/>
                <w:webHidden/>
              </w:rPr>
              <w:t>18</w:t>
            </w:r>
            <w:r w:rsidRPr="00941D68">
              <w:rPr>
                <w:b/>
                <w:bCs/>
                <w:noProof/>
                <w:webHidden/>
              </w:rPr>
              <w:fldChar w:fldCharType="end"/>
            </w:r>
          </w:hyperlink>
        </w:p>
        <w:p w14:paraId="5B998B67" w14:textId="1C3365DF" w:rsidR="00941D68" w:rsidRDefault="00941D68" w:rsidP="00941D68">
          <w:pPr>
            <w:pStyle w:val="TOC1"/>
            <w:rPr>
              <w:rFonts w:asciiTheme="minorHAnsi" w:eastAsiaTheme="minorEastAsia" w:hAnsiTheme="minorHAnsi"/>
              <w:noProof/>
              <w:sz w:val="22"/>
              <w:szCs w:val="22"/>
              <w:lang w:val="en-AU" w:eastAsia="en-AU"/>
            </w:rPr>
          </w:pPr>
          <w:hyperlink w:anchor="_Toc114465563" w:history="1">
            <w:r w:rsidRPr="004C5443">
              <w:rPr>
                <w:rStyle w:val="Hyperlink"/>
                <w:noProof/>
                <w:lang w:val="en-AU"/>
              </w:rPr>
              <w:t>3.1</w:t>
            </w:r>
            <w:r>
              <w:rPr>
                <w:rFonts w:asciiTheme="minorHAnsi" w:eastAsiaTheme="minorEastAsia" w:hAnsiTheme="minorHAnsi"/>
                <w:noProof/>
                <w:sz w:val="22"/>
                <w:szCs w:val="22"/>
                <w:lang w:val="en-AU" w:eastAsia="en-AU"/>
              </w:rPr>
              <w:tab/>
            </w:r>
            <w:r w:rsidRPr="004C5443">
              <w:rPr>
                <w:rStyle w:val="Hyperlink"/>
                <w:noProof/>
                <w:lang w:val="en-AU"/>
              </w:rPr>
              <w:t>Calculation of gaming tax</w:t>
            </w:r>
            <w:r>
              <w:rPr>
                <w:noProof/>
                <w:webHidden/>
              </w:rPr>
              <w:tab/>
            </w:r>
            <w:r>
              <w:rPr>
                <w:noProof/>
                <w:webHidden/>
              </w:rPr>
              <w:fldChar w:fldCharType="begin"/>
            </w:r>
            <w:r>
              <w:rPr>
                <w:noProof/>
                <w:webHidden/>
              </w:rPr>
              <w:instrText xml:space="preserve"> PAGEREF _Toc114465563 \h </w:instrText>
            </w:r>
            <w:r>
              <w:rPr>
                <w:noProof/>
                <w:webHidden/>
              </w:rPr>
            </w:r>
            <w:r>
              <w:rPr>
                <w:noProof/>
                <w:webHidden/>
              </w:rPr>
              <w:fldChar w:fldCharType="separate"/>
            </w:r>
            <w:r w:rsidR="008C6AF1">
              <w:rPr>
                <w:noProof/>
                <w:webHidden/>
              </w:rPr>
              <w:t>18</w:t>
            </w:r>
            <w:r>
              <w:rPr>
                <w:noProof/>
                <w:webHidden/>
              </w:rPr>
              <w:fldChar w:fldCharType="end"/>
            </w:r>
          </w:hyperlink>
        </w:p>
        <w:p w14:paraId="2C85D632" w14:textId="48926E4B" w:rsidR="00941D68" w:rsidRDefault="00941D68" w:rsidP="00941D68">
          <w:pPr>
            <w:pStyle w:val="TOC1"/>
            <w:rPr>
              <w:rFonts w:asciiTheme="minorHAnsi" w:eastAsiaTheme="minorEastAsia" w:hAnsiTheme="minorHAnsi"/>
              <w:noProof/>
              <w:sz w:val="22"/>
              <w:szCs w:val="22"/>
              <w:lang w:val="en-AU" w:eastAsia="en-AU"/>
            </w:rPr>
          </w:pPr>
          <w:hyperlink w:anchor="_Toc114465564" w:history="1">
            <w:r w:rsidRPr="004C5443">
              <w:rPr>
                <w:rStyle w:val="Hyperlink"/>
                <w:noProof/>
                <w:lang w:val="en-AU"/>
              </w:rPr>
              <w:t>3.2</w:t>
            </w:r>
            <w:r>
              <w:rPr>
                <w:rFonts w:asciiTheme="minorHAnsi" w:eastAsiaTheme="minorEastAsia" w:hAnsiTheme="minorHAnsi"/>
                <w:noProof/>
                <w:sz w:val="22"/>
                <w:szCs w:val="22"/>
                <w:lang w:val="en-AU" w:eastAsia="en-AU"/>
              </w:rPr>
              <w:tab/>
            </w:r>
            <w:r w:rsidRPr="004C5443">
              <w:rPr>
                <w:rStyle w:val="Hyperlink"/>
                <w:noProof/>
                <w:lang w:val="en-AU"/>
              </w:rPr>
              <w:t>Components of the tax calculation</w:t>
            </w:r>
            <w:r>
              <w:rPr>
                <w:noProof/>
                <w:webHidden/>
              </w:rPr>
              <w:tab/>
            </w:r>
            <w:r>
              <w:rPr>
                <w:noProof/>
                <w:webHidden/>
              </w:rPr>
              <w:fldChar w:fldCharType="begin"/>
            </w:r>
            <w:r>
              <w:rPr>
                <w:noProof/>
                <w:webHidden/>
              </w:rPr>
              <w:instrText xml:space="preserve"> PAGEREF _Toc114465564 \h </w:instrText>
            </w:r>
            <w:r>
              <w:rPr>
                <w:noProof/>
                <w:webHidden/>
              </w:rPr>
            </w:r>
            <w:r>
              <w:rPr>
                <w:noProof/>
                <w:webHidden/>
              </w:rPr>
              <w:fldChar w:fldCharType="separate"/>
            </w:r>
            <w:r w:rsidR="008C6AF1">
              <w:rPr>
                <w:noProof/>
                <w:webHidden/>
              </w:rPr>
              <w:t>18</w:t>
            </w:r>
            <w:r>
              <w:rPr>
                <w:noProof/>
                <w:webHidden/>
              </w:rPr>
              <w:fldChar w:fldCharType="end"/>
            </w:r>
          </w:hyperlink>
        </w:p>
        <w:p w14:paraId="2577110F" w14:textId="2C4C6EFB" w:rsidR="00941D68" w:rsidRDefault="00941D68" w:rsidP="00941D68">
          <w:pPr>
            <w:pStyle w:val="TOC1"/>
            <w:rPr>
              <w:rFonts w:asciiTheme="minorHAnsi" w:eastAsiaTheme="minorEastAsia" w:hAnsiTheme="minorHAnsi"/>
              <w:noProof/>
              <w:sz w:val="22"/>
              <w:szCs w:val="22"/>
              <w:lang w:val="en-AU" w:eastAsia="en-AU"/>
            </w:rPr>
          </w:pPr>
          <w:hyperlink w:anchor="_Toc114465565" w:history="1">
            <w:r w:rsidRPr="004C5443">
              <w:rPr>
                <w:rStyle w:val="Hyperlink"/>
                <w:noProof/>
                <w:lang w:val="en-AU"/>
              </w:rPr>
              <w:t>3.3</w:t>
            </w:r>
            <w:r>
              <w:rPr>
                <w:rFonts w:asciiTheme="minorHAnsi" w:eastAsiaTheme="minorEastAsia" w:hAnsiTheme="minorHAnsi"/>
                <w:noProof/>
                <w:sz w:val="22"/>
                <w:szCs w:val="22"/>
                <w:lang w:val="en-AU" w:eastAsia="en-AU"/>
              </w:rPr>
              <w:tab/>
            </w:r>
            <w:r w:rsidRPr="004C5443">
              <w:rPr>
                <w:rStyle w:val="Hyperlink"/>
                <w:noProof/>
                <w:lang w:val="en-AU"/>
              </w:rPr>
              <w:t>Examples of the tax calculation</w:t>
            </w:r>
            <w:r>
              <w:rPr>
                <w:noProof/>
                <w:webHidden/>
              </w:rPr>
              <w:tab/>
            </w:r>
            <w:r>
              <w:rPr>
                <w:noProof/>
                <w:webHidden/>
              </w:rPr>
              <w:fldChar w:fldCharType="begin"/>
            </w:r>
            <w:r>
              <w:rPr>
                <w:noProof/>
                <w:webHidden/>
              </w:rPr>
              <w:instrText xml:space="preserve"> PAGEREF _Toc114465565 \h </w:instrText>
            </w:r>
            <w:r>
              <w:rPr>
                <w:noProof/>
                <w:webHidden/>
              </w:rPr>
            </w:r>
            <w:r>
              <w:rPr>
                <w:noProof/>
                <w:webHidden/>
              </w:rPr>
              <w:fldChar w:fldCharType="separate"/>
            </w:r>
            <w:r w:rsidR="008C6AF1">
              <w:rPr>
                <w:noProof/>
                <w:webHidden/>
              </w:rPr>
              <w:t>20</w:t>
            </w:r>
            <w:r>
              <w:rPr>
                <w:noProof/>
                <w:webHidden/>
              </w:rPr>
              <w:fldChar w:fldCharType="end"/>
            </w:r>
          </w:hyperlink>
        </w:p>
        <w:p w14:paraId="63D63E92" w14:textId="3C93C6E9" w:rsidR="00941D68" w:rsidRDefault="00941D68" w:rsidP="00941D68">
          <w:pPr>
            <w:pStyle w:val="TOC1"/>
            <w:rPr>
              <w:rFonts w:asciiTheme="minorHAnsi" w:eastAsiaTheme="minorEastAsia" w:hAnsiTheme="minorHAnsi"/>
              <w:noProof/>
              <w:sz w:val="22"/>
              <w:szCs w:val="22"/>
              <w:lang w:val="en-AU" w:eastAsia="en-AU"/>
            </w:rPr>
          </w:pPr>
          <w:hyperlink w:anchor="_Toc114465566" w:history="1">
            <w:r w:rsidRPr="004C5443">
              <w:rPr>
                <w:rStyle w:val="Hyperlink"/>
                <w:noProof/>
                <w:lang w:val="en-AU"/>
              </w:rPr>
              <w:t>3.4</w:t>
            </w:r>
            <w:r>
              <w:rPr>
                <w:rFonts w:asciiTheme="minorHAnsi" w:eastAsiaTheme="minorEastAsia" w:hAnsiTheme="minorHAnsi"/>
                <w:noProof/>
                <w:sz w:val="22"/>
                <w:szCs w:val="22"/>
                <w:lang w:val="en-AU" w:eastAsia="en-AU"/>
              </w:rPr>
              <w:tab/>
            </w:r>
            <w:r w:rsidRPr="004C5443">
              <w:rPr>
                <w:rStyle w:val="Hyperlink"/>
                <w:noProof/>
                <w:lang w:val="en-AU"/>
              </w:rPr>
              <w:t>Payment of gaming taxes</w:t>
            </w:r>
            <w:r>
              <w:rPr>
                <w:noProof/>
                <w:webHidden/>
              </w:rPr>
              <w:tab/>
            </w:r>
            <w:r>
              <w:rPr>
                <w:noProof/>
                <w:webHidden/>
              </w:rPr>
              <w:fldChar w:fldCharType="begin"/>
            </w:r>
            <w:r>
              <w:rPr>
                <w:noProof/>
                <w:webHidden/>
              </w:rPr>
              <w:instrText xml:space="preserve"> PAGEREF _Toc114465566 \h </w:instrText>
            </w:r>
            <w:r>
              <w:rPr>
                <w:noProof/>
                <w:webHidden/>
              </w:rPr>
            </w:r>
            <w:r>
              <w:rPr>
                <w:noProof/>
                <w:webHidden/>
              </w:rPr>
              <w:fldChar w:fldCharType="separate"/>
            </w:r>
            <w:r w:rsidR="008C6AF1">
              <w:rPr>
                <w:noProof/>
                <w:webHidden/>
              </w:rPr>
              <w:t>21</w:t>
            </w:r>
            <w:r>
              <w:rPr>
                <w:noProof/>
                <w:webHidden/>
              </w:rPr>
              <w:fldChar w:fldCharType="end"/>
            </w:r>
          </w:hyperlink>
        </w:p>
        <w:p w14:paraId="2D2B43E0" w14:textId="752517F5" w:rsidR="00941D68" w:rsidRDefault="00941D68" w:rsidP="00941D68">
          <w:pPr>
            <w:pStyle w:val="TOC1"/>
            <w:rPr>
              <w:rFonts w:asciiTheme="minorHAnsi" w:eastAsiaTheme="minorEastAsia" w:hAnsiTheme="minorHAnsi"/>
              <w:noProof/>
              <w:sz w:val="22"/>
              <w:szCs w:val="22"/>
              <w:lang w:val="en-AU" w:eastAsia="en-AU"/>
            </w:rPr>
          </w:pPr>
          <w:hyperlink w:anchor="_Toc114465567" w:history="1">
            <w:r w:rsidRPr="004C5443">
              <w:rPr>
                <w:rStyle w:val="Hyperlink"/>
                <w:noProof/>
                <w:lang w:val="en-AU"/>
              </w:rPr>
              <w:t>3.5</w:t>
            </w:r>
            <w:r>
              <w:rPr>
                <w:rFonts w:asciiTheme="minorHAnsi" w:eastAsiaTheme="minorEastAsia" w:hAnsiTheme="minorHAnsi"/>
                <w:noProof/>
                <w:sz w:val="22"/>
                <w:szCs w:val="22"/>
                <w:lang w:val="en-AU" w:eastAsia="en-AU"/>
              </w:rPr>
              <w:tab/>
            </w:r>
            <w:r w:rsidRPr="004C5443">
              <w:rPr>
                <w:rStyle w:val="Hyperlink"/>
                <w:noProof/>
                <w:lang w:val="en-AU"/>
              </w:rPr>
              <w:t>Provision of tax remittance to be collected</w:t>
            </w:r>
            <w:r>
              <w:rPr>
                <w:noProof/>
                <w:webHidden/>
              </w:rPr>
              <w:tab/>
            </w:r>
            <w:r>
              <w:rPr>
                <w:noProof/>
                <w:webHidden/>
              </w:rPr>
              <w:fldChar w:fldCharType="begin"/>
            </w:r>
            <w:r>
              <w:rPr>
                <w:noProof/>
                <w:webHidden/>
              </w:rPr>
              <w:instrText xml:space="preserve"> PAGEREF _Toc114465567 \h </w:instrText>
            </w:r>
            <w:r>
              <w:rPr>
                <w:noProof/>
                <w:webHidden/>
              </w:rPr>
            </w:r>
            <w:r>
              <w:rPr>
                <w:noProof/>
                <w:webHidden/>
              </w:rPr>
              <w:fldChar w:fldCharType="separate"/>
            </w:r>
            <w:r w:rsidR="008C6AF1">
              <w:rPr>
                <w:noProof/>
                <w:webHidden/>
              </w:rPr>
              <w:t>21</w:t>
            </w:r>
            <w:r>
              <w:rPr>
                <w:noProof/>
                <w:webHidden/>
              </w:rPr>
              <w:fldChar w:fldCharType="end"/>
            </w:r>
          </w:hyperlink>
        </w:p>
        <w:p w14:paraId="6FD7C43C" w14:textId="626E0CBE" w:rsidR="00941D68" w:rsidRDefault="00941D68" w:rsidP="00941D68">
          <w:pPr>
            <w:pStyle w:val="TOC1"/>
            <w:rPr>
              <w:rFonts w:asciiTheme="minorHAnsi" w:eastAsiaTheme="minorEastAsia" w:hAnsiTheme="minorHAnsi"/>
              <w:noProof/>
              <w:sz w:val="22"/>
              <w:szCs w:val="22"/>
              <w:lang w:val="en-AU" w:eastAsia="en-AU"/>
            </w:rPr>
          </w:pPr>
          <w:hyperlink w:anchor="_Toc114465568" w:history="1">
            <w:r w:rsidRPr="004C5443">
              <w:rPr>
                <w:rStyle w:val="Hyperlink"/>
                <w:noProof/>
                <w:lang w:val="en-AU"/>
              </w:rPr>
              <w:t>3.6</w:t>
            </w:r>
            <w:r>
              <w:rPr>
                <w:rFonts w:asciiTheme="minorHAnsi" w:eastAsiaTheme="minorEastAsia" w:hAnsiTheme="minorHAnsi"/>
                <w:noProof/>
                <w:sz w:val="22"/>
                <w:szCs w:val="22"/>
                <w:lang w:val="en-AU" w:eastAsia="en-AU"/>
              </w:rPr>
              <w:tab/>
            </w:r>
            <w:r w:rsidRPr="004C5443">
              <w:rPr>
                <w:rStyle w:val="Hyperlink"/>
                <w:noProof/>
                <w:lang w:val="en-AU"/>
              </w:rPr>
              <w:t>Penalties on late payment</w:t>
            </w:r>
            <w:r>
              <w:rPr>
                <w:noProof/>
                <w:webHidden/>
              </w:rPr>
              <w:tab/>
            </w:r>
            <w:r>
              <w:rPr>
                <w:noProof/>
                <w:webHidden/>
              </w:rPr>
              <w:fldChar w:fldCharType="begin"/>
            </w:r>
            <w:r>
              <w:rPr>
                <w:noProof/>
                <w:webHidden/>
              </w:rPr>
              <w:instrText xml:space="preserve"> PAGEREF _Toc114465568 \h </w:instrText>
            </w:r>
            <w:r>
              <w:rPr>
                <w:noProof/>
                <w:webHidden/>
              </w:rPr>
            </w:r>
            <w:r>
              <w:rPr>
                <w:noProof/>
                <w:webHidden/>
              </w:rPr>
              <w:fldChar w:fldCharType="separate"/>
            </w:r>
            <w:r w:rsidR="008C6AF1">
              <w:rPr>
                <w:noProof/>
                <w:webHidden/>
              </w:rPr>
              <w:t>21</w:t>
            </w:r>
            <w:r>
              <w:rPr>
                <w:noProof/>
                <w:webHidden/>
              </w:rPr>
              <w:fldChar w:fldCharType="end"/>
            </w:r>
          </w:hyperlink>
        </w:p>
        <w:p w14:paraId="43902629" w14:textId="165E08EF" w:rsidR="00941D68" w:rsidRPr="00941D68" w:rsidRDefault="00941D68" w:rsidP="00941D68">
          <w:pPr>
            <w:pStyle w:val="TOC1"/>
            <w:rPr>
              <w:rFonts w:asciiTheme="minorHAnsi" w:eastAsiaTheme="minorEastAsia" w:hAnsiTheme="minorHAnsi"/>
              <w:b/>
              <w:bCs/>
              <w:noProof/>
              <w:sz w:val="22"/>
              <w:szCs w:val="22"/>
              <w:lang w:val="en-AU" w:eastAsia="en-AU"/>
            </w:rPr>
          </w:pPr>
          <w:hyperlink w:anchor="_Toc114465569" w:history="1">
            <w:r w:rsidRPr="00941D68">
              <w:rPr>
                <w:rStyle w:val="Hyperlink"/>
                <w:b/>
                <w:bCs/>
                <w:noProof/>
              </w:rPr>
              <w:t>4</w:t>
            </w:r>
            <w:r w:rsidRPr="00941D68">
              <w:rPr>
                <w:rFonts w:asciiTheme="minorHAnsi" w:eastAsiaTheme="minorEastAsia" w:hAnsiTheme="minorHAnsi"/>
                <w:b/>
                <w:bCs/>
                <w:noProof/>
                <w:sz w:val="22"/>
                <w:szCs w:val="22"/>
                <w:lang w:val="en-AU" w:eastAsia="en-AU"/>
              </w:rPr>
              <w:tab/>
            </w:r>
            <w:r w:rsidRPr="00941D68">
              <w:rPr>
                <w:rStyle w:val="Hyperlink"/>
                <w:b/>
                <w:bCs/>
                <w:noProof/>
              </w:rPr>
              <w:t>Other gaming audit requirements</w:t>
            </w:r>
            <w:r w:rsidRPr="00941D68">
              <w:rPr>
                <w:b/>
                <w:bCs/>
                <w:noProof/>
                <w:webHidden/>
              </w:rPr>
              <w:tab/>
            </w:r>
            <w:r w:rsidRPr="00941D68">
              <w:rPr>
                <w:b/>
                <w:bCs/>
                <w:noProof/>
                <w:webHidden/>
              </w:rPr>
              <w:fldChar w:fldCharType="begin"/>
            </w:r>
            <w:r w:rsidRPr="00941D68">
              <w:rPr>
                <w:b/>
                <w:bCs/>
                <w:noProof/>
                <w:webHidden/>
              </w:rPr>
              <w:instrText xml:space="preserve"> PAGEREF _Toc114465569 \h </w:instrText>
            </w:r>
            <w:r w:rsidRPr="00941D68">
              <w:rPr>
                <w:b/>
                <w:bCs/>
                <w:noProof/>
                <w:webHidden/>
              </w:rPr>
            </w:r>
            <w:r w:rsidRPr="00941D68">
              <w:rPr>
                <w:b/>
                <w:bCs/>
                <w:noProof/>
                <w:webHidden/>
              </w:rPr>
              <w:fldChar w:fldCharType="separate"/>
            </w:r>
            <w:r w:rsidR="008C6AF1">
              <w:rPr>
                <w:b/>
                <w:bCs/>
                <w:noProof/>
                <w:webHidden/>
              </w:rPr>
              <w:t>22</w:t>
            </w:r>
            <w:r w:rsidRPr="00941D68">
              <w:rPr>
                <w:b/>
                <w:bCs/>
                <w:noProof/>
                <w:webHidden/>
              </w:rPr>
              <w:fldChar w:fldCharType="end"/>
            </w:r>
          </w:hyperlink>
        </w:p>
        <w:p w14:paraId="0C14D02F" w14:textId="25B01941" w:rsidR="00941D68" w:rsidRDefault="00941D68" w:rsidP="00941D68">
          <w:pPr>
            <w:pStyle w:val="TOC1"/>
            <w:rPr>
              <w:rFonts w:asciiTheme="minorHAnsi" w:eastAsiaTheme="minorEastAsia" w:hAnsiTheme="minorHAnsi"/>
              <w:noProof/>
              <w:sz w:val="22"/>
              <w:szCs w:val="22"/>
              <w:lang w:val="en-AU" w:eastAsia="en-AU"/>
            </w:rPr>
          </w:pPr>
          <w:hyperlink w:anchor="_Toc114465570" w:history="1">
            <w:r w:rsidRPr="004C5443">
              <w:rPr>
                <w:rStyle w:val="Hyperlink"/>
                <w:noProof/>
              </w:rPr>
              <w:t>4.1</w:t>
            </w:r>
            <w:r>
              <w:rPr>
                <w:rFonts w:asciiTheme="minorHAnsi" w:eastAsiaTheme="minorEastAsia" w:hAnsiTheme="minorHAnsi"/>
                <w:noProof/>
                <w:sz w:val="22"/>
                <w:szCs w:val="22"/>
                <w:lang w:val="en-AU" w:eastAsia="en-AU"/>
              </w:rPr>
              <w:tab/>
            </w:r>
            <w:r w:rsidRPr="004C5443">
              <w:rPr>
                <w:rStyle w:val="Hyperlink"/>
                <w:noProof/>
              </w:rPr>
              <w:t>Minimum return to players</w:t>
            </w:r>
            <w:r>
              <w:rPr>
                <w:noProof/>
                <w:webHidden/>
              </w:rPr>
              <w:tab/>
            </w:r>
            <w:r>
              <w:rPr>
                <w:noProof/>
                <w:webHidden/>
              </w:rPr>
              <w:fldChar w:fldCharType="begin"/>
            </w:r>
            <w:r>
              <w:rPr>
                <w:noProof/>
                <w:webHidden/>
              </w:rPr>
              <w:instrText xml:space="preserve"> PAGEREF _Toc114465570 \h </w:instrText>
            </w:r>
            <w:r>
              <w:rPr>
                <w:noProof/>
                <w:webHidden/>
              </w:rPr>
            </w:r>
            <w:r>
              <w:rPr>
                <w:noProof/>
                <w:webHidden/>
              </w:rPr>
              <w:fldChar w:fldCharType="separate"/>
            </w:r>
            <w:r w:rsidR="008C6AF1">
              <w:rPr>
                <w:noProof/>
                <w:webHidden/>
              </w:rPr>
              <w:t>22</w:t>
            </w:r>
            <w:r>
              <w:rPr>
                <w:noProof/>
                <w:webHidden/>
              </w:rPr>
              <w:fldChar w:fldCharType="end"/>
            </w:r>
          </w:hyperlink>
        </w:p>
        <w:p w14:paraId="15835406" w14:textId="0BFD20C2" w:rsidR="00941D68" w:rsidRDefault="00941D68" w:rsidP="00941D68">
          <w:pPr>
            <w:pStyle w:val="TOC1"/>
            <w:rPr>
              <w:rFonts w:asciiTheme="minorHAnsi" w:eastAsiaTheme="minorEastAsia" w:hAnsiTheme="minorHAnsi"/>
              <w:noProof/>
              <w:sz w:val="22"/>
              <w:szCs w:val="22"/>
              <w:lang w:val="en-AU" w:eastAsia="en-AU"/>
            </w:rPr>
          </w:pPr>
          <w:hyperlink w:anchor="_Toc114465571" w:history="1">
            <w:r w:rsidRPr="004C5443">
              <w:rPr>
                <w:rStyle w:val="Hyperlink"/>
                <w:noProof/>
              </w:rPr>
              <w:t>4.2</w:t>
            </w:r>
            <w:r>
              <w:rPr>
                <w:rFonts w:asciiTheme="minorHAnsi" w:eastAsiaTheme="minorEastAsia" w:hAnsiTheme="minorHAnsi"/>
                <w:noProof/>
                <w:sz w:val="22"/>
                <w:szCs w:val="22"/>
                <w:lang w:val="en-AU" w:eastAsia="en-AU"/>
              </w:rPr>
              <w:tab/>
            </w:r>
            <w:r w:rsidRPr="004C5443">
              <w:rPr>
                <w:rStyle w:val="Hyperlink"/>
                <w:noProof/>
              </w:rPr>
              <w:t>Supervision of the gaming machine area</w:t>
            </w:r>
            <w:r>
              <w:rPr>
                <w:noProof/>
                <w:webHidden/>
              </w:rPr>
              <w:tab/>
            </w:r>
            <w:r>
              <w:rPr>
                <w:noProof/>
                <w:webHidden/>
              </w:rPr>
              <w:fldChar w:fldCharType="begin"/>
            </w:r>
            <w:r>
              <w:rPr>
                <w:noProof/>
                <w:webHidden/>
              </w:rPr>
              <w:instrText xml:space="preserve"> PAGEREF _Toc114465571 \h </w:instrText>
            </w:r>
            <w:r>
              <w:rPr>
                <w:noProof/>
                <w:webHidden/>
              </w:rPr>
            </w:r>
            <w:r>
              <w:rPr>
                <w:noProof/>
                <w:webHidden/>
              </w:rPr>
              <w:fldChar w:fldCharType="separate"/>
            </w:r>
            <w:r w:rsidR="008C6AF1">
              <w:rPr>
                <w:noProof/>
                <w:webHidden/>
              </w:rPr>
              <w:t>22</w:t>
            </w:r>
            <w:r>
              <w:rPr>
                <w:noProof/>
                <w:webHidden/>
              </w:rPr>
              <w:fldChar w:fldCharType="end"/>
            </w:r>
          </w:hyperlink>
        </w:p>
        <w:p w14:paraId="6A3B1F74" w14:textId="57560F2C" w:rsidR="00941D68" w:rsidRDefault="00941D68" w:rsidP="00941D68">
          <w:pPr>
            <w:pStyle w:val="TOC1"/>
            <w:rPr>
              <w:rFonts w:asciiTheme="minorHAnsi" w:eastAsiaTheme="minorEastAsia" w:hAnsiTheme="minorHAnsi"/>
              <w:noProof/>
              <w:sz w:val="22"/>
              <w:szCs w:val="22"/>
              <w:lang w:val="en-AU" w:eastAsia="en-AU"/>
            </w:rPr>
          </w:pPr>
          <w:hyperlink w:anchor="_Toc114465572" w:history="1">
            <w:r w:rsidRPr="004C5443">
              <w:rPr>
                <w:rStyle w:val="Hyperlink"/>
                <w:noProof/>
              </w:rPr>
              <w:t>4.3</w:t>
            </w:r>
            <w:r>
              <w:rPr>
                <w:rFonts w:asciiTheme="minorHAnsi" w:eastAsiaTheme="minorEastAsia" w:hAnsiTheme="minorHAnsi"/>
                <w:noProof/>
                <w:sz w:val="22"/>
                <w:szCs w:val="22"/>
                <w:lang w:val="en-AU" w:eastAsia="en-AU"/>
              </w:rPr>
              <w:tab/>
            </w:r>
            <w:r w:rsidRPr="004C5443">
              <w:rPr>
                <w:rStyle w:val="Hyperlink"/>
                <w:noProof/>
              </w:rPr>
              <w:t>Appropriate documentation to support adherence to requirement</w:t>
            </w:r>
            <w:r>
              <w:rPr>
                <w:noProof/>
                <w:webHidden/>
              </w:rPr>
              <w:tab/>
            </w:r>
            <w:r>
              <w:rPr>
                <w:noProof/>
                <w:webHidden/>
              </w:rPr>
              <w:fldChar w:fldCharType="begin"/>
            </w:r>
            <w:r>
              <w:rPr>
                <w:noProof/>
                <w:webHidden/>
              </w:rPr>
              <w:instrText xml:space="preserve"> PAGEREF _Toc114465572 \h </w:instrText>
            </w:r>
            <w:r>
              <w:rPr>
                <w:noProof/>
                <w:webHidden/>
              </w:rPr>
            </w:r>
            <w:r>
              <w:rPr>
                <w:noProof/>
                <w:webHidden/>
              </w:rPr>
              <w:fldChar w:fldCharType="separate"/>
            </w:r>
            <w:r w:rsidR="008C6AF1">
              <w:rPr>
                <w:noProof/>
                <w:webHidden/>
              </w:rPr>
              <w:t>23</w:t>
            </w:r>
            <w:r>
              <w:rPr>
                <w:noProof/>
                <w:webHidden/>
              </w:rPr>
              <w:fldChar w:fldCharType="end"/>
            </w:r>
          </w:hyperlink>
        </w:p>
        <w:p w14:paraId="79328499" w14:textId="23D1DFDB" w:rsidR="00941D68" w:rsidRDefault="00941D68" w:rsidP="00941D68">
          <w:pPr>
            <w:pStyle w:val="TOC1"/>
            <w:rPr>
              <w:rFonts w:asciiTheme="minorHAnsi" w:eastAsiaTheme="minorEastAsia" w:hAnsiTheme="minorHAnsi"/>
              <w:noProof/>
              <w:sz w:val="22"/>
              <w:szCs w:val="22"/>
              <w:lang w:val="en-AU" w:eastAsia="en-AU"/>
            </w:rPr>
          </w:pPr>
          <w:hyperlink w:anchor="_Toc114465573" w:history="1">
            <w:r w:rsidRPr="004C5443">
              <w:rPr>
                <w:rStyle w:val="Hyperlink"/>
                <w:noProof/>
              </w:rPr>
              <w:t>4.4</w:t>
            </w:r>
            <w:r>
              <w:rPr>
                <w:rFonts w:asciiTheme="minorHAnsi" w:eastAsiaTheme="minorEastAsia" w:hAnsiTheme="minorHAnsi"/>
                <w:noProof/>
                <w:sz w:val="22"/>
                <w:szCs w:val="22"/>
                <w:lang w:val="en-AU" w:eastAsia="en-AU"/>
              </w:rPr>
              <w:tab/>
            </w:r>
            <w:r w:rsidRPr="004C5443">
              <w:rPr>
                <w:rStyle w:val="Hyperlink"/>
                <w:noProof/>
              </w:rPr>
              <w:t>Hours of gaming operation</w:t>
            </w:r>
            <w:r>
              <w:rPr>
                <w:noProof/>
                <w:webHidden/>
              </w:rPr>
              <w:tab/>
            </w:r>
            <w:r>
              <w:rPr>
                <w:noProof/>
                <w:webHidden/>
              </w:rPr>
              <w:fldChar w:fldCharType="begin"/>
            </w:r>
            <w:r>
              <w:rPr>
                <w:noProof/>
                <w:webHidden/>
              </w:rPr>
              <w:instrText xml:space="preserve"> PAGEREF _Toc114465573 \h </w:instrText>
            </w:r>
            <w:r>
              <w:rPr>
                <w:noProof/>
                <w:webHidden/>
              </w:rPr>
            </w:r>
            <w:r>
              <w:rPr>
                <w:noProof/>
                <w:webHidden/>
              </w:rPr>
              <w:fldChar w:fldCharType="separate"/>
            </w:r>
            <w:r w:rsidR="008C6AF1">
              <w:rPr>
                <w:noProof/>
                <w:webHidden/>
              </w:rPr>
              <w:t>23</w:t>
            </w:r>
            <w:r>
              <w:rPr>
                <w:noProof/>
                <w:webHidden/>
              </w:rPr>
              <w:fldChar w:fldCharType="end"/>
            </w:r>
          </w:hyperlink>
        </w:p>
        <w:p w14:paraId="2215CB28" w14:textId="32BFE4E7" w:rsidR="00941D68" w:rsidRDefault="00941D68" w:rsidP="00941D68">
          <w:pPr>
            <w:pStyle w:val="TOC1"/>
            <w:rPr>
              <w:rFonts w:asciiTheme="minorHAnsi" w:eastAsiaTheme="minorEastAsia" w:hAnsiTheme="minorHAnsi"/>
              <w:noProof/>
              <w:sz w:val="22"/>
              <w:szCs w:val="22"/>
              <w:lang w:val="en-AU" w:eastAsia="en-AU"/>
            </w:rPr>
          </w:pPr>
          <w:hyperlink w:anchor="_Toc114465574" w:history="1">
            <w:r w:rsidRPr="004C5443">
              <w:rPr>
                <w:rStyle w:val="Hyperlink"/>
                <w:noProof/>
              </w:rPr>
              <w:t>4.5</w:t>
            </w:r>
            <w:r>
              <w:rPr>
                <w:rFonts w:asciiTheme="minorHAnsi" w:eastAsiaTheme="minorEastAsia" w:hAnsiTheme="minorHAnsi"/>
                <w:noProof/>
                <w:sz w:val="22"/>
                <w:szCs w:val="22"/>
                <w:lang w:val="en-AU" w:eastAsia="en-AU"/>
              </w:rPr>
              <w:tab/>
            </w:r>
            <w:r w:rsidRPr="004C5443">
              <w:rPr>
                <w:rStyle w:val="Hyperlink"/>
                <w:noProof/>
              </w:rPr>
              <w:t>Malfunction of gaming machines</w:t>
            </w:r>
            <w:r>
              <w:rPr>
                <w:noProof/>
                <w:webHidden/>
              </w:rPr>
              <w:tab/>
            </w:r>
            <w:r>
              <w:rPr>
                <w:noProof/>
                <w:webHidden/>
              </w:rPr>
              <w:fldChar w:fldCharType="begin"/>
            </w:r>
            <w:r>
              <w:rPr>
                <w:noProof/>
                <w:webHidden/>
              </w:rPr>
              <w:instrText xml:space="preserve"> PAGEREF _Toc114465574 \h </w:instrText>
            </w:r>
            <w:r>
              <w:rPr>
                <w:noProof/>
                <w:webHidden/>
              </w:rPr>
            </w:r>
            <w:r>
              <w:rPr>
                <w:noProof/>
                <w:webHidden/>
              </w:rPr>
              <w:fldChar w:fldCharType="separate"/>
            </w:r>
            <w:r w:rsidR="008C6AF1">
              <w:rPr>
                <w:noProof/>
                <w:webHidden/>
              </w:rPr>
              <w:t>23</w:t>
            </w:r>
            <w:r>
              <w:rPr>
                <w:noProof/>
                <w:webHidden/>
              </w:rPr>
              <w:fldChar w:fldCharType="end"/>
            </w:r>
          </w:hyperlink>
        </w:p>
        <w:p w14:paraId="391F94D3" w14:textId="259A73F6" w:rsidR="00941D68" w:rsidRDefault="00941D68" w:rsidP="00941D68">
          <w:pPr>
            <w:pStyle w:val="TOC1"/>
            <w:rPr>
              <w:rFonts w:asciiTheme="minorHAnsi" w:eastAsiaTheme="minorEastAsia" w:hAnsiTheme="minorHAnsi"/>
              <w:noProof/>
              <w:sz w:val="22"/>
              <w:szCs w:val="22"/>
              <w:lang w:val="en-AU" w:eastAsia="en-AU"/>
            </w:rPr>
          </w:pPr>
          <w:hyperlink w:anchor="_Toc114465575" w:history="1">
            <w:r w:rsidRPr="004C5443">
              <w:rPr>
                <w:rStyle w:val="Hyperlink"/>
                <w:noProof/>
              </w:rPr>
              <w:t>4.6</w:t>
            </w:r>
            <w:r>
              <w:rPr>
                <w:rFonts w:asciiTheme="minorHAnsi" w:eastAsiaTheme="minorEastAsia" w:hAnsiTheme="minorHAnsi"/>
                <w:noProof/>
                <w:sz w:val="22"/>
                <w:szCs w:val="22"/>
                <w:lang w:val="en-AU" w:eastAsia="en-AU"/>
              </w:rPr>
              <w:tab/>
            </w:r>
            <w:r w:rsidRPr="004C5443">
              <w:rPr>
                <w:rStyle w:val="Hyperlink"/>
                <w:noProof/>
              </w:rPr>
              <w:t>Patron dispute procedures</w:t>
            </w:r>
            <w:r>
              <w:rPr>
                <w:noProof/>
                <w:webHidden/>
              </w:rPr>
              <w:tab/>
            </w:r>
            <w:r>
              <w:rPr>
                <w:noProof/>
                <w:webHidden/>
              </w:rPr>
              <w:fldChar w:fldCharType="begin"/>
            </w:r>
            <w:r>
              <w:rPr>
                <w:noProof/>
                <w:webHidden/>
              </w:rPr>
              <w:instrText xml:space="preserve"> PAGEREF _Toc114465575 \h </w:instrText>
            </w:r>
            <w:r>
              <w:rPr>
                <w:noProof/>
                <w:webHidden/>
              </w:rPr>
            </w:r>
            <w:r>
              <w:rPr>
                <w:noProof/>
                <w:webHidden/>
              </w:rPr>
              <w:fldChar w:fldCharType="separate"/>
            </w:r>
            <w:r w:rsidR="008C6AF1">
              <w:rPr>
                <w:noProof/>
                <w:webHidden/>
              </w:rPr>
              <w:t>23</w:t>
            </w:r>
            <w:r>
              <w:rPr>
                <w:noProof/>
                <w:webHidden/>
              </w:rPr>
              <w:fldChar w:fldCharType="end"/>
            </w:r>
          </w:hyperlink>
        </w:p>
        <w:p w14:paraId="0B9D2D96" w14:textId="37348C08" w:rsidR="00941D68" w:rsidRDefault="00941D68" w:rsidP="00941D68">
          <w:pPr>
            <w:pStyle w:val="TOC1"/>
            <w:rPr>
              <w:rFonts w:asciiTheme="minorHAnsi" w:eastAsiaTheme="minorEastAsia" w:hAnsiTheme="minorHAnsi"/>
              <w:noProof/>
              <w:sz w:val="22"/>
              <w:szCs w:val="22"/>
              <w:lang w:val="en-AU" w:eastAsia="en-AU"/>
            </w:rPr>
          </w:pPr>
          <w:hyperlink w:anchor="_Toc114465576" w:history="1">
            <w:r w:rsidRPr="004C5443">
              <w:rPr>
                <w:rStyle w:val="Hyperlink"/>
                <w:noProof/>
              </w:rPr>
              <w:t>4.7</w:t>
            </w:r>
            <w:r>
              <w:rPr>
                <w:rFonts w:asciiTheme="minorHAnsi" w:eastAsiaTheme="minorEastAsia" w:hAnsiTheme="minorHAnsi"/>
                <w:noProof/>
                <w:sz w:val="22"/>
                <w:szCs w:val="22"/>
                <w:lang w:val="en-AU" w:eastAsia="en-AU"/>
              </w:rPr>
              <w:tab/>
            </w:r>
            <w:r w:rsidRPr="004C5443">
              <w:rPr>
                <w:rStyle w:val="Hyperlink"/>
                <w:noProof/>
              </w:rPr>
              <w:t>Credit betting</w:t>
            </w:r>
            <w:r>
              <w:rPr>
                <w:noProof/>
                <w:webHidden/>
              </w:rPr>
              <w:tab/>
            </w:r>
            <w:r>
              <w:rPr>
                <w:noProof/>
                <w:webHidden/>
              </w:rPr>
              <w:fldChar w:fldCharType="begin"/>
            </w:r>
            <w:r>
              <w:rPr>
                <w:noProof/>
                <w:webHidden/>
              </w:rPr>
              <w:instrText xml:space="preserve"> PAGEREF _Toc114465576 \h </w:instrText>
            </w:r>
            <w:r>
              <w:rPr>
                <w:noProof/>
                <w:webHidden/>
              </w:rPr>
            </w:r>
            <w:r>
              <w:rPr>
                <w:noProof/>
                <w:webHidden/>
              </w:rPr>
              <w:fldChar w:fldCharType="separate"/>
            </w:r>
            <w:r w:rsidR="008C6AF1">
              <w:rPr>
                <w:noProof/>
                <w:webHidden/>
              </w:rPr>
              <w:t>24</w:t>
            </w:r>
            <w:r>
              <w:rPr>
                <w:noProof/>
                <w:webHidden/>
              </w:rPr>
              <w:fldChar w:fldCharType="end"/>
            </w:r>
          </w:hyperlink>
        </w:p>
        <w:p w14:paraId="27EA792F" w14:textId="1A2B95C6" w:rsidR="00941D68" w:rsidRDefault="00941D68" w:rsidP="00941D68">
          <w:pPr>
            <w:pStyle w:val="TOC1"/>
            <w:rPr>
              <w:rFonts w:asciiTheme="minorHAnsi" w:eastAsiaTheme="minorEastAsia" w:hAnsiTheme="minorHAnsi"/>
              <w:noProof/>
              <w:sz w:val="22"/>
              <w:szCs w:val="22"/>
              <w:lang w:val="en-AU" w:eastAsia="en-AU"/>
            </w:rPr>
          </w:pPr>
          <w:hyperlink w:anchor="_Toc114465577" w:history="1">
            <w:r w:rsidRPr="004C5443">
              <w:rPr>
                <w:rStyle w:val="Hyperlink"/>
                <w:noProof/>
              </w:rPr>
              <w:t>4.8</w:t>
            </w:r>
            <w:r>
              <w:rPr>
                <w:rFonts w:asciiTheme="minorHAnsi" w:eastAsiaTheme="minorEastAsia" w:hAnsiTheme="minorHAnsi"/>
                <w:noProof/>
                <w:sz w:val="22"/>
                <w:szCs w:val="22"/>
                <w:lang w:val="en-AU" w:eastAsia="en-AU"/>
              </w:rPr>
              <w:tab/>
            </w:r>
            <w:r w:rsidRPr="004C5443">
              <w:rPr>
                <w:rStyle w:val="Hyperlink"/>
                <w:noProof/>
              </w:rPr>
              <w:t>Provision of gaming data for audit purposes</w:t>
            </w:r>
            <w:r>
              <w:rPr>
                <w:noProof/>
                <w:webHidden/>
              </w:rPr>
              <w:tab/>
            </w:r>
            <w:r>
              <w:rPr>
                <w:noProof/>
                <w:webHidden/>
              </w:rPr>
              <w:fldChar w:fldCharType="begin"/>
            </w:r>
            <w:r>
              <w:rPr>
                <w:noProof/>
                <w:webHidden/>
              </w:rPr>
              <w:instrText xml:space="preserve"> PAGEREF _Toc114465577 \h </w:instrText>
            </w:r>
            <w:r>
              <w:rPr>
                <w:noProof/>
                <w:webHidden/>
              </w:rPr>
            </w:r>
            <w:r>
              <w:rPr>
                <w:noProof/>
                <w:webHidden/>
              </w:rPr>
              <w:fldChar w:fldCharType="separate"/>
            </w:r>
            <w:r w:rsidR="008C6AF1">
              <w:rPr>
                <w:noProof/>
                <w:webHidden/>
              </w:rPr>
              <w:t>24</w:t>
            </w:r>
            <w:r>
              <w:rPr>
                <w:noProof/>
                <w:webHidden/>
              </w:rPr>
              <w:fldChar w:fldCharType="end"/>
            </w:r>
          </w:hyperlink>
        </w:p>
        <w:p w14:paraId="6937C18F" w14:textId="26E27251" w:rsidR="00941D68" w:rsidRDefault="00941D68" w:rsidP="00941D68">
          <w:pPr>
            <w:pStyle w:val="TOC1"/>
            <w:rPr>
              <w:rFonts w:asciiTheme="minorHAnsi" w:eastAsiaTheme="minorEastAsia" w:hAnsiTheme="minorHAnsi"/>
              <w:noProof/>
              <w:sz w:val="22"/>
              <w:szCs w:val="22"/>
              <w:lang w:val="en-AU" w:eastAsia="en-AU"/>
            </w:rPr>
          </w:pPr>
          <w:hyperlink w:anchor="_Toc114465578" w:history="1">
            <w:r w:rsidRPr="004C5443">
              <w:rPr>
                <w:rStyle w:val="Hyperlink"/>
                <w:noProof/>
              </w:rPr>
              <w:t>4.9</w:t>
            </w:r>
            <w:r>
              <w:rPr>
                <w:rFonts w:asciiTheme="minorHAnsi" w:eastAsiaTheme="minorEastAsia" w:hAnsiTheme="minorHAnsi"/>
                <w:noProof/>
                <w:sz w:val="22"/>
                <w:szCs w:val="22"/>
                <w:lang w:val="en-AU" w:eastAsia="en-AU"/>
              </w:rPr>
              <w:tab/>
            </w:r>
            <w:r w:rsidRPr="004C5443">
              <w:rPr>
                <w:rStyle w:val="Hyperlink"/>
                <w:noProof/>
              </w:rPr>
              <w:t>Dealing with unexplained variances</w:t>
            </w:r>
            <w:r>
              <w:rPr>
                <w:noProof/>
                <w:webHidden/>
              </w:rPr>
              <w:tab/>
            </w:r>
            <w:r>
              <w:rPr>
                <w:noProof/>
                <w:webHidden/>
              </w:rPr>
              <w:fldChar w:fldCharType="begin"/>
            </w:r>
            <w:r>
              <w:rPr>
                <w:noProof/>
                <w:webHidden/>
              </w:rPr>
              <w:instrText xml:space="preserve"> PAGEREF _Toc114465578 \h </w:instrText>
            </w:r>
            <w:r>
              <w:rPr>
                <w:noProof/>
                <w:webHidden/>
              </w:rPr>
            </w:r>
            <w:r>
              <w:rPr>
                <w:noProof/>
                <w:webHidden/>
              </w:rPr>
              <w:fldChar w:fldCharType="separate"/>
            </w:r>
            <w:r w:rsidR="008C6AF1">
              <w:rPr>
                <w:noProof/>
                <w:webHidden/>
              </w:rPr>
              <w:t>24</w:t>
            </w:r>
            <w:r>
              <w:rPr>
                <w:noProof/>
                <w:webHidden/>
              </w:rPr>
              <w:fldChar w:fldCharType="end"/>
            </w:r>
          </w:hyperlink>
        </w:p>
        <w:p w14:paraId="1B0981B7" w14:textId="6CBFAC99" w:rsidR="00941D68" w:rsidRDefault="00941D68" w:rsidP="00941D68">
          <w:pPr>
            <w:pStyle w:val="TOC1"/>
            <w:rPr>
              <w:rFonts w:asciiTheme="minorHAnsi" w:eastAsiaTheme="minorEastAsia" w:hAnsiTheme="minorHAnsi"/>
              <w:noProof/>
              <w:sz w:val="22"/>
              <w:szCs w:val="22"/>
              <w:lang w:val="en-AU" w:eastAsia="en-AU"/>
            </w:rPr>
          </w:pPr>
          <w:hyperlink w:anchor="_Toc114465579" w:history="1">
            <w:r w:rsidRPr="004C5443">
              <w:rPr>
                <w:rStyle w:val="Hyperlink"/>
                <w:noProof/>
                <w:lang w:val="en-AU"/>
              </w:rPr>
              <w:t>Appendix 1</w:t>
            </w:r>
            <w:r>
              <w:rPr>
                <w:noProof/>
                <w:webHidden/>
              </w:rPr>
              <w:tab/>
            </w:r>
            <w:r>
              <w:rPr>
                <w:noProof/>
                <w:webHidden/>
              </w:rPr>
              <w:fldChar w:fldCharType="begin"/>
            </w:r>
            <w:r>
              <w:rPr>
                <w:noProof/>
                <w:webHidden/>
              </w:rPr>
              <w:instrText xml:space="preserve"> PAGEREF _Toc114465579 \h </w:instrText>
            </w:r>
            <w:r>
              <w:rPr>
                <w:noProof/>
                <w:webHidden/>
              </w:rPr>
            </w:r>
            <w:r>
              <w:rPr>
                <w:noProof/>
                <w:webHidden/>
              </w:rPr>
              <w:fldChar w:fldCharType="separate"/>
            </w:r>
            <w:r w:rsidR="008C6AF1">
              <w:rPr>
                <w:noProof/>
                <w:webHidden/>
              </w:rPr>
              <w:t>25</w:t>
            </w:r>
            <w:r>
              <w:rPr>
                <w:noProof/>
                <w:webHidden/>
              </w:rPr>
              <w:fldChar w:fldCharType="end"/>
            </w:r>
          </w:hyperlink>
        </w:p>
        <w:p w14:paraId="6A7F7B45" w14:textId="011A4139" w:rsidR="00941D68" w:rsidRDefault="00941D68" w:rsidP="00941D68">
          <w:pPr>
            <w:pStyle w:val="TOC1"/>
            <w:rPr>
              <w:rFonts w:asciiTheme="minorHAnsi" w:eastAsiaTheme="minorEastAsia" w:hAnsiTheme="minorHAnsi"/>
              <w:noProof/>
              <w:sz w:val="22"/>
              <w:szCs w:val="22"/>
              <w:lang w:val="en-AU" w:eastAsia="en-AU"/>
            </w:rPr>
          </w:pPr>
          <w:hyperlink w:anchor="_Toc114465581" w:history="1">
            <w:r w:rsidRPr="004C5443">
              <w:rPr>
                <w:rStyle w:val="Hyperlink"/>
                <w:noProof/>
              </w:rPr>
              <w:t>Appendix 2</w:t>
            </w:r>
            <w:r>
              <w:rPr>
                <w:noProof/>
                <w:webHidden/>
              </w:rPr>
              <w:tab/>
            </w:r>
            <w:r>
              <w:rPr>
                <w:noProof/>
                <w:webHidden/>
              </w:rPr>
              <w:fldChar w:fldCharType="begin"/>
            </w:r>
            <w:r>
              <w:rPr>
                <w:noProof/>
                <w:webHidden/>
              </w:rPr>
              <w:instrText xml:space="preserve"> PAGEREF _Toc114465581 \h </w:instrText>
            </w:r>
            <w:r>
              <w:rPr>
                <w:noProof/>
                <w:webHidden/>
              </w:rPr>
            </w:r>
            <w:r>
              <w:rPr>
                <w:noProof/>
                <w:webHidden/>
              </w:rPr>
              <w:fldChar w:fldCharType="separate"/>
            </w:r>
            <w:r w:rsidR="008C6AF1">
              <w:rPr>
                <w:noProof/>
                <w:webHidden/>
              </w:rPr>
              <w:t>27</w:t>
            </w:r>
            <w:r>
              <w:rPr>
                <w:noProof/>
                <w:webHidden/>
              </w:rPr>
              <w:fldChar w:fldCharType="end"/>
            </w:r>
          </w:hyperlink>
        </w:p>
        <w:p w14:paraId="67519A0B" w14:textId="591D7A49" w:rsidR="00941D68" w:rsidRDefault="00941D68" w:rsidP="00941D68">
          <w:pPr>
            <w:pStyle w:val="TOC1"/>
            <w:rPr>
              <w:rFonts w:asciiTheme="minorHAnsi" w:eastAsiaTheme="minorEastAsia" w:hAnsiTheme="minorHAnsi"/>
              <w:noProof/>
              <w:sz w:val="22"/>
              <w:szCs w:val="22"/>
              <w:lang w:val="en-AU" w:eastAsia="en-AU"/>
            </w:rPr>
          </w:pPr>
          <w:hyperlink w:anchor="_Toc114465583" w:history="1">
            <w:r w:rsidRPr="004C5443">
              <w:rPr>
                <w:rStyle w:val="Hyperlink"/>
                <w:noProof/>
                <w:lang w:val="en-AU"/>
              </w:rPr>
              <w:t>Appendix 3</w:t>
            </w:r>
            <w:r>
              <w:rPr>
                <w:noProof/>
                <w:webHidden/>
              </w:rPr>
              <w:tab/>
            </w:r>
            <w:r>
              <w:rPr>
                <w:noProof/>
                <w:webHidden/>
              </w:rPr>
              <w:fldChar w:fldCharType="begin"/>
            </w:r>
            <w:r>
              <w:rPr>
                <w:noProof/>
                <w:webHidden/>
              </w:rPr>
              <w:instrText xml:space="preserve"> PAGEREF _Toc114465583 \h </w:instrText>
            </w:r>
            <w:r>
              <w:rPr>
                <w:noProof/>
                <w:webHidden/>
              </w:rPr>
            </w:r>
            <w:r>
              <w:rPr>
                <w:noProof/>
                <w:webHidden/>
              </w:rPr>
              <w:fldChar w:fldCharType="separate"/>
            </w:r>
            <w:r w:rsidR="008C6AF1">
              <w:rPr>
                <w:noProof/>
                <w:webHidden/>
              </w:rPr>
              <w:t>28</w:t>
            </w:r>
            <w:r>
              <w:rPr>
                <w:noProof/>
                <w:webHidden/>
              </w:rPr>
              <w:fldChar w:fldCharType="end"/>
            </w:r>
          </w:hyperlink>
        </w:p>
        <w:p w14:paraId="5BDDBB97" w14:textId="4075531B" w:rsidR="00941D68" w:rsidRDefault="00941D68" w:rsidP="00941D68">
          <w:pPr>
            <w:pStyle w:val="TOC1"/>
            <w:rPr>
              <w:rFonts w:asciiTheme="minorHAnsi" w:eastAsiaTheme="minorEastAsia" w:hAnsiTheme="minorHAnsi"/>
              <w:noProof/>
              <w:sz w:val="22"/>
              <w:szCs w:val="22"/>
              <w:lang w:val="en-AU" w:eastAsia="en-AU"/>
            </w:rPr>
          </w:pPr>
          <w:hyperlink w:anchor="_Toc114465585" w:history="1">
            <w:r w:rsidRPr="004C5443">
              <w:rPr>
                <w:rStyle w:val="Hyperlink"/>
                <w:noProof/>
                <w:lang w:val="en-AU"/>
              </w:rPr>
              <w:t>Appendix 4</w:t>
            </w:r>
            <w:r>
              <w:rPr>
                <w:noProof/>
                <w:webHidden/>
              </w:rPr>
              <w:tab/>
            </w:r>
            <w:r>
              <w:rPr>
                <w:noProof/>
                <w:webHidden/>
              </w:rPr>
              <w:fldChar w:fldCharType="begin"/>
            </w:r>
            <w:r>
              <w:rPr>
                <w:noProof/>
                <w:webHidden/>
              </w:rPr>
              <w:instrText xml:space="preserve"> PAGEREF _Toc114465585 \h </w:instrText>
            </w:r>
            <w:r>
              <w:rPr>
                <w:noProof/>
                <w:webHidden/>
              </w:rPr>
            </w:r>
            <w:r>
              <w:rPr>
                <w:noProof/>
                <w:webHidden/>
              </w:rPr>
              <w:fldChar w:fldCharType="separate"/>
            </w:r>
            <w:r w:rsidR="008C6AF1">
              <w:rPr>
                <w:noProof/>
                <w:webHidden/>
              </w:rPr>
              <w:t>29</w:t>
            </w:r>
            <w:r>
              <w:rPr>
                <w:noProof/>
                <w:webHidden/>
              </w:rPr>
              <w:fldChar w:fldCharType="end"/>
            </w:r>
          </w:hyperlink>
        </w:p>
        <w:p w14:paraId="184A156E" w14:textId="188C9AE9" w:rsidR="00941D68" w:rsidRDefault="00941D68" w:rsidP="00941D68">
          <w:pPr>
            <w:pStyle w:val="TOC1"/>
            <w:rPr>
              <w:rFonts w:asciiTheme="minorHAnsi" w:eastAsiaTheme="minorEastAsia" w:hAnsiTheme="minorHAnsi"/>
              <w:noProof/>
              <w:sz w:val="22"/>
              <w:szCs w:val="22"/>
              <w:lang w:val="en-AU" w:eastAsia="en-AU"/>
            </w:rPr>
          </w:pPr>
          <w:hyperlink w:anchor="_Toc114465587" w:history="1">
            <w:r w:rsidRPr="004C5443">
              <w:rPr>
                <w:rStyle w:val="Hyperlink"/>
                <w:noProof/>
                <w:lang w:val="en-AU"/>
              </w:rPr>
              <w:t>Appendix 5</w:t>
            </w:r>
            <w:r>
              <w:rPr>
                <w:noProof/>
                <w:webHidden/>
              </w:rPr>
              <w:tab/>
            </w:r>
            <w:r>
              <w:rPr>
                <w:noProof/>
                <w:webHidden/>
              </w:rPr>
              <w:fldChar w:fldCharType="begin"/>
            </w:r>
            <w:r>
              <w:rPr>
                <w:noProof/>
                <w:webHidden/>
              </w:rPr>
              <w:instrText xml:space="preserve"> PAGEREF _Toc114465587 \h </w:instrText>
            </w:r>
            <w:r>
              <w:rPr>
                <w:noProof/>
                <w:webHidden/>
              </w:rPr>
            </w:r>
            <w:r>
              <w:rPr>
                <w:noProof/>
                <w:webHidden/>
              </w:rPr>
              <w:fldChar w:fldCharType="separate"/>
            </w:r>
            <w:r w:rsidR="008C6AF1">
              <w:rPr>
                <w:noProof/>
                <w:webHidden/>
              </w:rPr>
              <w:t>31</w:t>
            </w:r>
            <w:r>
              <w:rPr>
                <w:noProof/>
                <w:webHidden/>
              </w:rPr>
              <w:fldChar w:fldCharType="end"/>
            </w:r>
          </w:hyperlink>
        </w:p>
        <w:p w14:paraId="0F3B0B55" w14:textId="3FBDEDD1" w:rsidR="00481903" w:rsidRDefault="00941D68">
          <w:r>
            <w:fldChar w:fldCharType="end"/>
          </w:r>
        </w:p>
      </w:sdtContent>
    </w:sdt>
    <w:p w14:paraId="505AFE2A" w14:textId="74AAC255" w:rsidR="0081733D" w:rsidRPr="0081733D" w:rsidRDefault="0081733D" w:rsidP="00941D68">
      <w:pPr>
        <w:pStyle w:val="Heading1"/>
      </w:pPr>
      <w:bookmarkStart w:id="7" w:name="_Toc61957980"/>
      <w:bookmarkStart w:id="8" w:name="_Toc91776737"/>
      <w:bookmarkStart w:id="9" w:name="_Toc114465546"/>
      <w:r w:rsidRPr="0081733D">
        <w:lastRenderedPageBreak/>
        <w:t>General venue accounting conditions</w:t>
      </w:r>
      <w:bookmarkEnd w:id="9"/>
    </w:p>
    <w:p w14:paraId="4B1968CC" w14:textId="77777777" w:rsidR="001E3173" w:rsidRDefault="001E3173" w:rsidP="001E3173">
      <w:pPr>
        <w:pStyle w:val="Heading2"/>
        <w:sectPr w:rsidR="001E3173" w:rsidSect="000F1F50">
          <w:headerReference w:type="default" r:id="rId8"/>
          <w:footerReference w:type="even" r:id="rId9"/>
          <w:footerReference w:type="default" r:id="rId10"/>
          <w:headerReference w:type="first" r:id="rId11"/>
          <w:footerReference w:type="first" r:id="rId12"/>
          <w:pgSz w:w="11900" w:h="16840"/>
          <w:pgMar w:top="1418" w:right="851" w:bottom="1814" w:left="851" w:header="709" w:footer="567" w:gutter="0"/>
          <w:pgNumType w:start="0"/>
          <w:cols w:space="720"/>
          <w:titlePg/>
          <w:docGrid w:linePitch="360"/>
        </w:sectPr>
      </w:pPr>
    </w:p>
    <w:p w14:paraId="48DA2936" w14:textId="2B333B81" w:rsidR="0081733D" w:rsidRDefault="000F4297" w:rsidP="000F4297">
      <w:pPr>
        <w:pStyle w:val="Heading2"/>
        <w:numPr>
          <w:ilvl w:val="0"/>
          <w:numId w:val="0"/>
        </w:numPr>
      </w:pPr>
      <w:bookmarkStart w:id="10" w:name="_Toc114465547"/>
      <w:r>
        <w:t xml:space="preserve">1.1 </w:t>
      </w:r>
      <w:r w:rsidR="0081733D">
        <w:t xml:space="preserve">Adherence to accounting </w:t>
      </w:r>
      <w:r w:rsidR="001E3173">
        <w:t xml:space="preserve">and </w:t>
      </w:r>
      <w:r w:rsidR="0081733D">
        <w:t>auditing venue requirements</w:t>
      </w:r>
      <w:bookmarkEnd w:id="10"/>
    </w:p>
    <w:p w14:paraId="3885A3BD" w14:textId="4CCDC4E0" w:rsidR="0081733D" w:rsidRDefault="0081733D" w:rsidP="0081733D">
      <w:r w:rsidRPr="0081733D">
        <w:t xml:space="preserve">These Accounting and </w:t>
      </w:r>
      <w:r w:rsidR="001E3173">
        <w:t>a</w:t>
      </w:r>
      <w:r w:rsidRPr="0081733D">
        <w:t xml:space="preserve">uditing </w:t>
      </w:r>
      <w:r w:rsidR="001E3173">
        <w:t>v</w:t>
      </w:r>
      <w:r w:rsidRPr="0081733D">
        <w:t xml:space="preserve">enue </w:t>
      </w:r>
      <w:r w:rsidR="001E3173">
        <w:t>r</w:t>
      </w:r>
      <w:r w:rsidRPr="0081733D">
        <w:t xml:space="preserve">equirements </w:t>
      </w:r>
      <w:r w:rsidR="000F1F50">
        <w:t>have</w:t>
      </w:r>
      <w:r w:rsidRPr="0081733D">
        <w:t xml:space="preserve"> been determined by the Victorian </w:t>
      </w:r>
      <w:r w:rsidR="001E3173">
        <w:t xml:space="preserve">Gambling and Casino Control Commission </w:t>
      </w:r>
      <w:r w:rsidRPr="0081733D">
        <w:t xml:space="preserve">under section 10.1.5C of the </w:t>
      </w:r>
      <w:r w:rsidRPr="001E3173">
        <w:rPr>
          <w:i/>
          <w:iCs/>
        </w:rPr>
        <w:t>Gambling Regulation Act 2003</w:t>
      </w:r>
      <w:r w:rsidR="001E3173">
        <w:t>.</w:t>
      </w:r>
    </w:p>
    <w:p w14:paraId="3C541D82" w14:textId="1BDD8A6C" w:rsidR="0081733D" w:rsidRDefault="0081733D" w:rsidP="0081733D">
      <w:r>
        <w:t>Section 3.4.1B of the Act requires a venue operator to comply with an operational requirement determined by the Commission unless the Commission has, in writing, given its approval to the venue operator not to comply with the standard or operational requirement.</w:t>
      </w:r>
    </w:p>
    <w:p w14:paraId="5E55B309" w14:textId="1D141A84" w:rsidR="0081733D" w:rsidRDefault="0081733D" w:rsidP="0081733D">
      <w:r>
        <w:t>The Commission will conduct regular reviews of a gaming venue to assess a venue operator’s adherence to the requirements. Disciplinary action may be taken against a venue operator for failing to adhere to any of these requirements.</w:t>
      </w:r>
    </w:p>
    <w:p w14:paraId="6E5EAB4B" w14:textId="274A0628" w:rsidR="0081733D" w:rsidRDefault="0081733D" w:rsidP="0081733D">
      <w:r>
        <w:t>Failure of a venue operator to comply with these requirements is grounds for disciplinary action under section 3.4.25 (1) of the Act. Disciplinary action under section 3.4.25 (1) could result in:</w:t>
      </w:r>
    </w:p>
    <w:p w14:paraId="40DE47D8" w14:textId="3500AE29" w:rsidR="0081733D" w:rsidRPr="00941D68" w:rsidRDefault="0081733D" w:rsidP="00941D68">
      <w:pPr>
        <w:pStyle w:val="Bullet1"/>
      </w:pPr>
      <w:r w:rsidRPr="00941D68">
        <w:t>cancellation or suspension of the venue operator licence</w:t>
      </w:r>
    </w:p>
    <w:p w14:paraId="2A76FD04" w14:textId="324C0746" w:rsidR="0081733D" w:rsidRPr="00941D68" w:rsidRDefault="0081733D" w:rsidP="00941D68">
      <w:pPr>
        <w:pStyle w:val="Bullet1"/>
      </w:pPr>
      <w:r w:rsidRPr="00941D68">
        <w:t>the variation of the conditions of the venue operator licence</w:t>
      </w:r>
    </w:p>
    <w:p w14:paraId="31D54A3C" w14:textId="3DDD2AD4" w:rsidR="0081733D" w:rsidRPr="00941D68" w:rsidRDefault="0081733D" w:rsidP="00941D68">
      <w:pPr>
        <w:pStyle w:val="Bullet1"/>
      </w:pPr>
      <w:r w:rsidRPr="00941D68">
        <w:t>the issuing of a letter of censure to the venue operator</w:t>
      </w:r>
    </w:p>
    <w:p w14:paraId="7E28B31B" w14:textId="5CB62CFD" w:rsidR="0081733D" w:rsidRPr="00941D68" w:rsidRDefault="0081733D" w:rsidP="00941D68">
      <w:pPr>
        <w:pStyle w:val="Bullet1"/>
      </w:pPr>
      <w:r w:rsidRPr="00941D68">
        <w:t>the imposition of a fine not exceeding 5000 times the value of a penalty unit.</w:t>
      </w:r>
    </w:p>
    <w:p w14:paraId="4D615DEE" w14:textId="53E8D03C" w:rsidR="0081733D" w:rsidRDefault="0081733D" w:rsidP="0081733D">
      <w:r>
        <w:t>In addition to the requirements contained in this document, a venue operator should also consider any obligations imposed by other regulatory/statutory bodies, including the Australian Transaction Reports and Analysis Centre and the Australian Taxation Office.</w:t>
      </w:r>
    </w:p>
    <w:p w14:paraId="383CD42F" w14:textId="6C7F5CB0" w:rsidR="0081733D" w:rsidRDefault="00941D68" w:rsidP="000F4297">
      <w:pPr>
        <w:pStyle w:val="Heading2"/>
        <w:numPr>
          <w:ilvl w:val="0"/>
          <w:numId w:val="0"/>
        </w:numPr>
        <w:ind w:left="576" w:hanging="576"/>
      </w:pPr>
      <w:bookmarkStart w:id="11" w:name="_Toc114465548"/>
      <w:r>
        <w:br w:type="column"/>
      </w:r>
      <w:r w:rsidR="000F4297">
        <w:t xml:space="preserve">1.2 </w:t>
      </w:r>
      <w:r w:rsidR="001E3173">
        <w:t>Accurate record keeping</w:t>
      </w:r>
      <w:bookmarkEnd w:id="11"/>
    </w:p>
    <w:p w14:paraId="21AD8900" w14:textId="06BC3D97" w:rsidR="0081733D" w:rsidRDefault="0081733D" w:rsidP="0081733D">
      <w:r>
        <w:t>Section 3.7.4 of the Act requires a venue operator to keep accounting records:</w:t>
      </w:r>
    </w:p>
    <w:p w14:paraId="1B1AAACF" w14:textId="51B85831" w:rsidR="0081733D" w:rsidRDefault="0081733D" w:rsidP="001E3173">
      <w:pPr>
        <w:pStyle w:val="Bullet1"/>
      </w:pPr>
      <w:r>
        <w:t>that correctly record and explain the transactions and financial position of the operations of the operator.</w:t>
      </w:r>
    </w:p>
    <w:p w14:paraId="4750D36C" w14:textId="0A7DE547" w:rsidR="0081733D" w:rsidRDefault="0081733D" w:rsidP="001E3173">
      <w:pPr>
        <w:pStyle w:val="Bullet1"/>
      </w:pPr>
      <w:r>
        <w:t>in the form required by the Commission and in a manner that will enable</w:t>
      </w:r>
      <w:r w:rsidR="001E3173">
        <w:t>:</w:t>
      </w:r>
    </w:p>
    <w:p w14:paraId="02CBA91C" w14:textId="446DFF46" w:rsidR="0081733D" w:rsidRPr="00941D68" w:rsidRDefault="0081733D" w:rsidP="00941D68">
      <w:pPr>
        <w:pStyle w:val="Bullet2"/>
      </w:pPr>
      <w:r>
        <w:t xml:space="preserve">true and fair financial statements and accounts to </w:t>
      </w:r>
      <w:r w:rsidRPr="00941D68">
        <w:t>be prepared from time to time; and</w:t>
      </w:r>
    </w:p>
    <w:p w14:paraId="16585AF7" w14:textId="4FD14883" w:rsidR="0081733D" w:rsidRDefault="0081733D" w:rsidP="00941D68">
      <w:pPr>
        <w:pStyle w:val="Bullet2"/>
      </w:pPr>
      <w:r w:rsidRPr="00941D68">
        <w:t>in the case of a club venue operator, true and fair community benefit statements to be prepared under section 3.6.9 and for those financial statements</w:t>
      </w:r>
      <w:r>
        <w:t xml:space="preserve">, </w:t>
      </w:r>
      <w:proofErr w:type="gramStart"/>
      <w:r>
        <w:t>accounts</w:t>
      </w:r>
      <w:proofErr w:type="gramEnd"/>
      <w:r>
        <w:t xml:space="preserve"> and community benefit statements to be conveniently and properly audited.</w:t>
      </w:r>
    </w:p>
    <w:p w14:paraId="4B5AEE31" w14:textId="01A0A1BA" w:rsidR="0081733D" w:rsidRDefault="000F4297" w:rsidP="000F4297">
      <w:pPr>
        <w:pStyle w:val="Heading2"/>
        <w:numPr>
          <w:ilvl w:val="0"/>
          <w:numId w:val="0"/>
        </w:numPr>
        <w:ind w:left="576" w:hanging="576"/>
      </w:pPr>
      <w:bookmarkStart w:id="12" w:name="_Toc114465549"/>
      <w:r>
        <w:t xml:space="preserve">1.3 </w:t>
      </w:r>
      <w:r w:rsidR="001E3173">
        <w:t>Gaming data reconciliations</w:t>
      </w:r>
      <w:bookmarkEnd w:id="12"/>
    </w:p>
    <w:p w14:paraId="4CA009FC" w14:textId="307ADF15" w:rsidR="0081733D" w:rsidRDefault="0081733D" w:rsidP="0081733D">
      <w:r>
        <w:t xml:space="preserve">A venue operator must perform reconciliations of gaming transactions to attest to the completeness and accuracy of gaming data reported by the monitoring licensee. </w:t>
      </w:r>
    </w:p>
    <w:p w14:paraId="32ABF079" w14:textId="77777777" w:rsidR="0081733D" w:rsidRDefault="0081733D" w:rsidP="0081733D">
      <w:r>
        <w:t xml:space="preserve">At a minimum, monitoring and reconciling of gaming data must be performed as required by other sections of these requirements. </w:t>
      </w:r>
    </w:p>
    <w:p w14:paraId="4409E5A7" w14:textId="74CCEC4A" w:rsidR="0081733D" w:rsidRDefault="0081733D" w:rsidP="0081733D">
      <w:r>
        <w:t xml:space="preserve">Further information is provided in section 2 of these requirements on the minimum standard of reconciliations required by the Commission and the source documentation that must be maintained by venue operators. </w:t>
      </w:r>
    </w:p>
    <w:p w14:paraId="2B38B0F4" w14:textId="7491C48C" w:rsidR="0081733D" w:rsidRDefault="0081733D" w:rsidP="0081733D">
      <w:r>
        <w:t>A venue operator is not limited to the reconciliations outlined in these requirements and may instigate further reconciliations as it deems necessary.</w:t>
      </w:r>
    </w:p>
    <w:p w14:paraId="68CB6EAD" w14:textId="0498710F" w:rsidR="0081733D" w:rsidRPr="001E3173" w:rsidRDefault="001E3173" w:rsidP="008B0DCD">
      <w:pPr>
        <w:pStyle w:val="Heading2"/>
        <w:numPr>
          <w:ilvl w:val="0"/>
          <w:numId w:val="0"/>
        </w:numPr>
      </w:pPr>
      <w:r>
        <w:br w:type="column"/>
      </w:r>
      <w:bookmarkStart w:id="13" w:name="_Toc114465550"/>
      <w:r w:rsidR="000F4297">
        <w:lastRenderedPageBreak/>
        <w:t xml:space="preserve">1.4 </w:t>
      </w:r>
      <w:r w:rsidRPr="001E3173">
        <w:t>Contracting of third</w:t>
      </w:r>
      <w:r w:rsidR="00E12E2F">
        <w:t>-</w:t>
      </w:r>
      <w:r w:rsidRPr="001E3173">
        <w:t>party service providers</w:t>
      </w:r>
      <w:bookmarkEnd w:id="13"/>
    </w:p>
    <w:p w14:paraId="18C301CB" w14:textId="77777777" w:rsidR="001E3173" w:rsidRDefault="0081733D" w:rsidP="001E3173">
      <w:pPr>
        <w:spacing w:line="260" w:lineRule="atLeast"/>
      </w:pPr>
      <w:r>
        <w:t>A venue operator may contract the services of a third party or u</w:t>
      </w:r>
      <w:r w:rsidR="001E3173">
        <w:t>se</w:t>
      </w:r>
      <w:r>
        <w:t xml:space="preserve"> third party management systems to provide gambling related services. This includes Ticket In Ticket Out (TITO), Card Based Cashless (CBC), financial management system and loyalty system providers. </w:t>
      </w:r>
    </w:p>
    <w:p w14:paraId="46847B99" w14:textId="799C8712" w:rsidR="0081733D" w:rsidRDefault="0081733D" w:rsidP="001E3173">
      <w:pPr>
        <w:spacing w:line="260" w:lineRule="atLeast"/>
      </w:pPr>
      <w:r>
        <w:t>Third party systems may not require approval by the Commission and therefore have not been assessed to ensure they adequately assist venues in offering gambling related services or assisting in adhering to these or any other requirements. Therefore, it is the responsibility of the venue operator, and not the service provider, to ensure that the</w:t>
      </w:r>
      <w:r w:rsidR="001E3173">
        <w:t>se</w:t>
      </w:r>
      <w:r>
        <w:t xml:space="preserve"> requirements, and any other requirements have been adhered to. </w:t>
      </w:r>
    </w:p>
    <w:p w14:paraId="0F476C6F" w14:textId="08447A80" w:rsidR="0081733D" w:rsidRDefault="0081733D" w:rsidP="001E3173">
      <w:pPr>
        <w:spacing w:line="260" w:lineRule="atLeast"/>
      </w:pPr>
      <w:r>
        <w:t xml:space="preserve">All required source documentation must be maintained by the venue operator in accordance with section 1.6 of these requirements. </w:t>
      </w:r>
    </w:p>
    <w:p w14:paraId="1F6EDE0F" w14:textId="4023060D" w:rsidR="0081733D" w:rsidRDefault="000F4297" w:rsidP="000F4297">
      <w:pPr>
        <w:pStyle w:val="Heading2"/>
        <w:numPr>
          <w:ilvl w:val="0"/>
          <w:numId w:val="0"/>
        </w:numPr>
        <w:ind w:left="576" w:hanging="576"/>
      </w:pPr>
      <w:bookmarkStart w:id="14" w:name="_Toc114465551"/>
      <w:r>
        <w:t xml:space="preserve">1.5 </w:t>
      </w:r>
      <w:r w:rsidR="001E3173">
        <w:t>Record keeping systems</w:t>
      </w:r>
      <w:bookmarkEnd w:id="14"/>
    </w:p>
    <w:p w14:paraId="525703F1" w14:textId="24660E62" w:rsidR="0081733D" w:rsidRDefault="0081733D" w:rsidP="001E3173">
      <w:pPr>
        <w:spacing w:line="260" w:lineRule="atLeast"/>
      </w:pPr>
      <w:r>
        <w:t>A venue operator must maintain a system of record keeping, preferably in electronic format, which can be conveniently and adequately audited by the Commission.</w:t>
      </w:r>
    </w:p>
    <w:p w14:paraId="045E472A" w14:textId="7A429938" w:rsidR="0081733D" w:rsidRDefault="0081733D" w:rsidP="001E3173">
      <w:pPr>
        <w:spacing w:line="260" w:lineRule="atLeast"/>
      </w:pPr>
      <w:r>
        <w:t>All source documents to support adherence to these requirements must be readily available to the Commission.</w:t>
      </w:r>
    </w:p>
    <w:p w14:paraId="455C15A6" w14:textId="57DD66D8" w:rsidR="0081733D" w:rsidRDefault="000F4297" w:rsidP="000F4297">
      <w:pPr>
        <w:pStyle w:val="Heading2"/>
        <w:numPr>
          <w:ilvl w:val="0"/>
          <w:numId w:val="0"/>
        </w:numPr>
        <w:ind w:left="576" w:hanging="576"/>
      </w:pPr>
      <w:bookmarkStart w:id="15" w:name="_Toc114465552"/>
      <w:r>
        <w:t xml:space="preserve">1.6 </w:t>
      </w:r>
      <w:r w:rsidR="0081733D">
        <w:t>M</w:t>
      </w:r>
      <w:r w:rsidR="001E3173">
        <w:t>aintaining gaming records</w:t>
      </w:r>
      <w:bookmarkEnd w:id="15"/>
    </w:p>
    <w:p w14:paraId="2CC05129" w14:textId="451ABE75" w:rsidR="0081733D" w:rsidRDefault="0081733D" w:rsidP="001E3173">
      <w:pPr>
        <w:spacing w:line="260" w:lineRule="atLeast"/>
      </w:pPr>
      <w:r>
        <w:t>Section 3.7.5 of the Act requires an operator to ensure that all documents relating to the operations of the gaming venue/operator are</w:t>
      </w:r>
      <w:r w:rsidR="001E3173">
        <w:t>:</w:t>
      </w:r>
    </w:p>
    <w:p w14:paraId="19E8A11D" w14:textId="68A5BF16" w:rsidR="0081733D" w:rsidRDefault="0081733D" w:rsidP="001E3173">
      <w:pPr>
        <w:pStyle w:val="Bullet1"/>
        <w:spacing w:line="260" w:lineRule="atLeast"/>
      </w:pPr>
      <w:r>
        <w:t>kept at</w:t>
      </w:r>
      <w:r w:rsidR="001E3173">
        <w:t xml:space="preserve"> </w:t>
      </w:r>
      <w:r>
        <w:t>the approved venue, in the case of a venue operator</w:t>
      </w:r>
    </w:p>
    <w:p w14:paraId="2E9DFD59" w14:textId="48E18954" w:rsidR="0081733D" w:rsidRDefault="0081733D" w:rsidP="001E3173">
      <w:pPr>
        <w:pStyle w:val="Bullet1"/>
        <w:spacing w:line="260" w:lineRule="atLeast"/>
        <w:ind w:right="-81"/>
      </w:pPr>
      <w:r>
        <w:t>retained for not less than 7 years after the completion of the transactions to which they relate.</w:t>
      </w:r>
    </w:p>
    <w:p w14:paraId="1CF0E5B8" w14:textId="77777777" w:rsidR="00E12E2F" w:rsidRDefault="0081733D" w:rsidP="00E12E2F">
      <w:pPr>
        <w:spacing w:line="260" w:lineRule="atLeast"/>
      </w:pPr>
      <w:r>
        <w:t xml:space="preserve">Note that from 1 July 2008 the Commission granted an exemption to venue operators from the requirement to keep documents for 7 years. The period of retention was reduced for </w:t>
      </w:r>
      <w:proofErr w:type="gramStart"/>
      <w:r>
        <w:t>the majority of</w:t>
      </w:r>
      <w:proofErr w:type="gramEnd"/>
      <w:r>
        <w:t xml:space="preserve"> the gaming records to 3 years and audit rolls are to be kept for 13 months.</w:t>
      </w:r>
    </w:p>
    <w:p w14:paraId="5D5AE85D" w14:textId="58D0B1FB" w:rsidR="0081733D" w:rsidRDefault="00E12E2F" w:rsidP="008B0DCD">
      <w:pPr>
        <w:pStyle w:val="Heading2"/>
        <w:numPr>
          <w:ilvl w:val="0"/>
          <w:numId w:val="0"/>
        </w:numPr>
      </w:pPr>
      <w:r>
        <w:br w:type="column"/>
      </w:r>
      <w:bookmarkStart w:id="16" w:name="_Toc114465553"/>
      <w:r w:rsidR="000F4297">
        <w:t xml:space="preserve">1.7 </w:t>
      </w:r>
      <w:r w:rsidR="001E3173">
        <w:t>Maintenance of separate gaming bank accounts</w:t>
      </w:r>
      <w:bookmarkEnd w:id="16"/>
    </w:p>
    <w:p w14:paraId="73F5A3E6" w14:textId="7A9CE811" w:rsidR="0081733D" w:rsidRDefault="0081733D" w:rsidP="0081733D">
      <w:r>
        <w:t>Any bank account/s used to process gaming machine transactions must not be used to account for other business</w:t>
      </w:r>
      <w:r w:rsidR="00E12E2F">
        <w:t>-</w:t>
      </w:r>
      <w:r>
        <w:t>related transactions.</w:t>
      </w:r>
    </w:p>
    <w:p w14:paraId="0993B6CF" w14:textId="2380BF9D" w:rsidR="0081733D" w:rsidRDefault="0081733D" w:rsidP="0081733D">
      <w:r>
        <w:t>Section 3.7.3 (1) of the Act requires that a venue operator must:</w:t>
      </w:r>
    </w:p>
    <w:p w14:paraId="362F6074" w14:textId="200F13BA" w:rsidR="0081733D" w:rsidRDefault="0081733D" w:rsidP="001E3173">
      <w:pPr>
        <w:pStyle w:val="Bullet1"/>
      </w:pPr>
      <w:r>
        <w:t xml:space="preserve">keep and maintain separate accounts, as approved by the Commission, at an authorised deposit-taking institution in the State for use for all banking transactions arising under this </w:t>
      </w:r>
      <w:r w:rsidR="001E3173">
        <w:t>c</w:t>
      </w:r>
      <w:r>
        <w:t>hapter in relation to the operator</w:t>
      </w:r>
    </w:p>
    <w:p w14:paraId="146FFB79" w14:textId="044E13B5" w:rsidR="0081733D" w:rsidRDefault="0081733D" w:rsidP="0081733D">
      <w:pPr>
        <w:pStyle w:val="Bullet1"/>
      </w:pPr>
      <w:r>
        <w:t>from time to time provide the Commission, as required, and in a form approved by the Commission, with a written authority addressed to the authorised deposit-taking institution referred to in paragraph (a) authorising that institution to comply with any requirements of an inspector exercising powers under this section.</w:t>
      </w:r>
      <w:r>
        <w:tab/>
      </w:r>
    </w:p>
    <w:p w14:paraId="098B2113" w14:textId="4256B297" w:rsidR="0081733D" w:rsidRDefault="0081733D" w:rsidP="0081733D">
      <w:r>
        <w:t>Examples of gaming machine transactions arising under chapter 3 of the Act, that must be processed through separate gaming accounts include, but are not limited to:</w:t>
      </w:r>
    </w:p>
    <w:p w14:paraId="39807C1E" w14:textId="1FD33FA3" w:rsidR="0081733D" w:rsidRDefault="0081733D" w:rsidP="001E3173">
      <w:pPr>
        <w:pStyle w:val="Bullet1"/>
      </w:pPr>
      <w:r>
        <w:t>depositing of all gaming revenue (section 3.1.4)</w:t>
      </w:r>
    </w:p>
    <w:p w14:paraId="112656CE" w14:textId="719A82BE" w:rsidR="0081733D" w:rsidRDefault="0081733D" w:rsidP="001E3173">
      <w:pPr>
        <w:pStyle w:val="Bullet1"/>
      </w:pPr>
      <w:r>
        <w:t xml:space="preserve">payment of large wins, accumulated </w:t>
      </w:r>
      <w:proofErr w:type="gramStart"/>
      <w:r>
        <w:t>credits</w:t>
      </w:r>
      <w:proofErr w:type="gramEnd"/>
      <w:r>
        <w:t xml:space="preserve"> or jackpot prizes (section 3.5.33)</w:t>
      </w:r>
    </w:p>
    <w:p w14:paraId="06DCD064" w14:textId="5F16BB7A" w:rsidR="0081733D" w:rsidRDefault="0081733D" w:rsidP="001E3173">
      <w:pPr>
        <w:pStyle w:val="Bullet1"/>
      </w:pPr>
      <w:r>
        <w:t>accounting for movements to and from jackpot arrangements (section 3.4.1B)</w:t>
      </w:r>
    </w:p>
    <w:p w14:paraId="60333E9A" w14:textId="0CC027C4" w:rsidR="0081733D" w:rsidRDefault="0081733D" w:rsidP="001E3173">
      <w:pPr>
        <w:pStyle w:val="Bullet1"/>
      </w:pPr>
      <w:r>
        <w:t>payment of penalty interest as determined by the Commission (section 3.6.10)</w:t>
      </w:r>
    </w:p>
    <w:p w14:paraId="28F59594" w14:textId="3026F4FF" w:rsidR="0081733D" w:rsidRDefault="0081733D" w:rsidP="001E3173">
      <w:pPr>
        <w:pStyle w:val="Bullet1"/>
      </w:pPr>
      <w:r>
        <w:t>entitlement payments (section 3.4A.11)</w:t>
      </w:r>
    </w:p>
    <w:p w14:paraId="70781D5D" w14:textId="2D2D24D9" w:rsidR="0081733D" w:rsidRDefault="0081733D" w:rsidP="001E3173">
      <w:pPr>
        <w:pStyle w:val="Bullet1"/>
      </w:pPr>
      <w:r>
        <w:t>payment of the supervision charge as determined by the Commission (section 3.6.5A)</w:t>
      </w:r>
    </w:p>
    <w:p w14:paraId="0F89D1FA" w14:textId="44D925BE" w:rsidR="0081733D" w:rsidRDefault="0081733D" w:rsidP="001E3173">
      <w:pPr>
        <w:pStyle w:val="Bullet1"/>
      </w:pPr>
      <w:r>
        <w:t xml:space="preserve">sweep of monthly gaming taxes by the Commission (section 3.6.6C).  </w:t>
      </w:r>
    </w:p>
    <w:p w14:paraId="5165A0E4" w14:textId="5FFC55D0" w:rsidR="0081733D" w:rsidRDefault="001E3173" w:rsidP="0081733D">
      <w:r>
        <w:br w:type="column"/>
      </w:r>
      <w:r w:rsidR="0081733D">
        <w:lastRenderedPageBreak/>
        <w:t>Gaming machine transactions that must not be processed through any of the accounts used for transactions arising under chapter 3 of the Act include, but are not limited to:</w:t>
      </w:r>
    </w:p>
    <w:p w14:paraId="42DA2C89" w14:textId="68BA17A9" w:rsidR="0081733D" w:rsidRDefault="0081733D" w:rsidP="001E3173">
      <w:pPr>
        <w:pStyle w:val="Bullet1"/>
      </w:pPr>
      <w:r>
        <w:t>payment of any monitoring and maintenance fees to the monitoring licensee</w:t>
      </w:r>
    </w:p>
    <w:p w14:paraId="46EB5837" w14:textId="462AB065" w:rsidR="0081733D" w:rsidRDefault="0081733D" w:rsidP="001E3173">
      <w:pPr>
        <w:pStyle w:val="Bullet1"/>
      </w:pPr>
      <w:r>
        <w:t>payment of related fees to third party service providers</w:t>
      </w:r>
    </w:p>
    <w:p w14:paraId="4DA404A8" w14:textId="6EBDF226" w:rsidR="0081733D" w:rsidRDefault="0081733D" w:rsidP="001E3173">
      <w:pPr>
        <w:pStyle w:val="Bullet1"/>
      </w:pPr>
      <w:r>
        <w:t>gaming machine purchase or lease payments</w:t>
      </w:r>
    </w:p>
    <w:p w14:paraId="2853703B" w14:textId="4D63158F" w:rsidR="0081733D" w:rsidRDefault="0081733D" w:rsidP="001E3173">
      <w:pPr>
        <w:pStyle w:val="Bullet1"/>
      </w:pPr>
      <w:r>
        <w:t>payments to other government bodies that are not covered in this document (</w:t>
      </w:r>
      <w:r w:rsidR="008D65E9">
        <w:t>e.g.,</w:t>
      </w:r>
      <w:r>
        <w:t xml:space="preserve"> payment to Australian Taxation Office)</w:t>
      </w:r>
    </w:p>
    <w:p w14:paraId="7D68EC7C" w14:textId="5D8078B3" w:rsidR="0081733D" w:rsidRDefault="0081733D" w:rsidP="0081733D">
      <w:pPr>
        <w:pStyle w:val="Bullet1"/>
      </w:pPr>
      <w:r>
        <w:t>any other payments in relation to non-gaming activities.</w:t>
      </w:r>
    </w:p>
    <w:p w14:paraId="71AEBA38" w14:textId="18F85C20" w:rsidR="001E3173" w:rsidRDefault="000F4297" w:rsidP="008B0DCD">
      <w:pPr>
        <w:pStyle w:val="Heading2"/>
        <w:numPr>
          <w:ilvl w:val="0"/>
          <w:numId w:val="0"/>
        </w:numPr>
      </w:pPr>
      <w:bookmarkStart w:id="17" w:name="_Toc114465554"/>
      <w:r>
        <w:t xml:space="preserve">1.8 </w:t>
      </w:r>
      <w:r w:rsidR="0081733D">
        <w:t>R</w:t>
      </w:r>
      <w:r w:rsidR="001E3173">
        <w:t>egistration of nominated ban account for sweeping of gaming tax by the Commission</w:t>
      </w:r>
      <w:bookmarkEnd w:id="17"/>
    </w:p>
    <w:p w14:paraId="10B475E0" w14:textId="61C5A1AF" w:rsidR="0081733D" w:rsidRDefault="0081733D" w:rsidP="0081733D">
      <w:r>
        <w:t>To facilitate a complete and accurate collection of gaming taxes, the Commission will instigate a direct sweep of taxes owing from a venue(s) nominated bank account at the conclusion of the month.</w:t>
      </w:r>
    </w:p>
    <w:p w14:paraId="7C7B49FC" w14:textId="184CDF8A" w:rsidR="0081733D" w:rsidRDefault="0081733D" w:rsidP="0081733D">
      <w:r>
        <w:t>For this process to occur a venue operator must submit details of their nominated bank account by completing a Direct Debit Authority (DDA) with the Commission. The DDA application process is available to venue operators via their secure login access to the Commission’s Online Services Portal.</w:t>
      </w:r>
    </w:p>
    <w:p w14:paraId="3CE4CF04" w14:textId="58287D8F" w:rsidR="0081733D" w:rsidRDefault="0081733D" w:rsidP="0081733D">
      <w:r>
        <w:t xml:space="preserve">An individual venue operator must submit an individual DDA for each of its operating venues. </w:t>
      </w:r>
    </w:p>
    <w:p w14:paraId="1BDF78E9" w14:textId="639BE0A1" w:rsidR="0081733D" w:rsidRDefault="0081733D" w:rsidP="0081733D">
      <w:r>
        <w:t xml:space="preserve">If more than one gaming venue is owned by an entity, the venue operator may wish to consolidate the collection of taxes from one nominated gaming bank account. </w:t>
      </w:r>
      <w:r w:rsidR="008D65E9">
        <w:t>However,</w:t>
      </w:r>
      <w:r>
        <w:t xml:space="preserve"> this account must only be used for gaming transactions arising under Chapter 3 of the Act, as detailed in section 1.7 of these requirements.</w:t>
      </w:r>
    </w:p>
    <w:p w14:paraId="672E4F5E" w14:textId="3DD0DEC6" w:rsidR="0081733D" w:rsidRDefault="0081733D" w:rsidP="0081733D">
      <w:r>
        <w:t>For further details regarding this process please access the Online Services Portal.</w:t>
      </w:r>
    </w:p>
    <w:p w14:paraId="4878838A" w14:textId="664EDAFA" w:rsidR="001E3173" w:rsidRDefault="00E12E2F" w:rsidP="000F4297">
      <w:pPr>
        <w:pStyle w:val="Heading2"/>
        <w:numPr>
          <w:ilvl w:val="0"/>
          <w:numId w:val="0"/>
        </w:numPr>
        <w:ind w:left="576" w:hanging="576"/>
      </w:pPr>
      <w:r>
        <w:br w:type="column"/>
      </w:r>
      <w:bookmarkStart w:id="18" w:name="_Toc114465555"/>
      <w:r w:rsidR="000F4297">
        <w:t xml:space="preserve">1.9 </w:t>
      </w:r>
      <w:r w:rsidR="0081733D">
        <w:t>C</w:t>
      </w:r>
      <w:r w:rsidR="001E3173">
        <w:t>hange in gaming venue operator</w:t>
      </w:r>
      <w:bookmarkEnd w:id="18"/>
    </w:p>
    <w:p w14:paraId="2A5415BB" w14:textId="158BBAAF" w:rsidR="0081733D" w:rsidRDefault="0081733D" w:rsidP="0081733D">
      <w:r>
        <w:t>Upon a change of venue operator at an approved gaming premises, both the outgoing and incoming venue operator must perform all the necessary data recording, reporting and reconciliations, outlined in these requirements and applicable legislation, to ensure effective handover of the venue.</w:t>
      </w:r>
    </w:p>
    <w:p w14:paraId="04A2FD9B" w14:textId="2C859082" w:rsidR="0081733D" w:rsidRDefault="0081733D" w:rsidP="0081733D">
      <w:r>
        <w:t>Transitional functions must include, but are not limited to, the following:</w:t>
      </w:r>
    </w:p>
    <w:p w14:paraId="7BE7D67B" w14:textId="433B479B" w:rsidR="0081733D" w:rsidRDefault="0081733D" w:rsidP="001E3173">
      <w:pPr>
        <w:pStyle w:val="Bullet1"/>
      </w:pPr>
      <w:r>
        <w:t>recording all soft meters at the conclusion/commencement of the operation period</w:t>
      </w:r>
    </w:p>
    <w:p w14:paraId="081C2F36" w14:textId="57F34849" w:rsidR="0081733D" w:rsidRDefault="0081733D" w:rsidP="001E3173">
      <w:pPr>
        <w:pStyle w:val="Bullet1"/>
      </w:pPr>
      <w:r>
        <w:t>performing all gaming reconciliations at the conclusion/commencement of the operation period</w:t>
      </w:r>
    </w:p>
    <w:p w14:paraId="3C4BEE47" w14:textId="5FBAE481" w:rsidR="0081733D" w:rsidRDefault="0081733D" w:rsidP="001E3173">
      <w:pPr>
        <w:pStyle w:val="Bullet1"/>
      </w:pPr>
      <w:r>
        <w:t>conducting coin clearances and required cash handling activities</w:t>
      </w:r>
    </w:p>
    <w:p w14:paraId="4800F475" w14:textId="7C44CA7E" w:rsidR="0081733D" w:rsidRDefault="0081733D" w:rsidP="001E3173">
      <w:pPr>
        <w:pStyle w:val="Bullet1"/>
      </w:pPr>
      <w:r>
        <w:t xml:space="preserve">providing and/or maintaining accurate banking details in the Direct Debt Authority submitted to the Commission to ensure the required tax obligation apportioned to each owner can be collected </w:t>
      </w:r>
    </w:p>
    <w:p w14:paraId="67AEFE19" w14:textId="0D06A6EF" w:rsidR="0081733D" w:rsidRDefault="0081733D" w:rsidP="001E3173">
      <w:pPr>
        <w:pStyle w:val="Bullet1"/>
      </w:pPr>
      <w:r>
        <w:t>account for unpaid jackpot prizes and unclaimed gaming machine tickets as required</w:t>
      </w:r>
    </w:p>
    <w:p w14:paraId="3F56FDDE" w14:textId="533EE555" w:rsidR="0081733D" w:rsidRDefault="0081733D" w:rsidP="001E3173">
      <w:pPr>
        <w:pStyle w:val="Bullet1"/>
      </w:pPr>
      <w:r>
        <w:t>ensuring all gaming machine meter exceptions have been cleared to allow for complete and accurate calculation of gaming taxes. Refer to section 2.2.ii of these requirements for further information regarding gaming machine meter exceptions</w:t>
      </w:r>
    </w:p>
    <w:p w14:paraId="0FA959F5" w14:textId="123AE004" w:rsidR="00E12E2F" w:rsidRDefault="0081733D" w:rsidP="0081733D">
      <w:pPr>
        <w:pStyle w:val="Bullet1"/>
      </w:pPr>
      <w:r>
        <w:t>if applicable, making suitable arrangements to account for monies held in cashless accounts. This may include the reimbursement of funds to patrons, where possible, or the transfer of funds to cashless wallets held by the new venue operator.</w:t>
      </w:r>
      <w:r w:rsidR="00E12E2F">
        <w:br w:type="page"/>
      </w:r>
    </w:p>
    <w:p w14:paraId="09DF95DA" w14:textId="42F7F0D5" w:rsidR="0081733D" w:rsidRDefault="0081733D" w:rsidP="001E3173">
      <w:pPr>
        <w:pStyle w:val="Heading3"/>
      </w:pPr>
      <w:r>
        <w:lastRenderedPageBreak/>
        <w:t xml:space="preserve">Accounting for </w:t>
      </w:r>
      <w:r w:rsidR="001E3173">
        <w:t>u</w:t>
      </w:r>
      <w:r>
        <w:t>nclaimed/</w:t>
      </w:r>
      <w:r w:rsidR="001E3173">
        <w:t>u</w:t>
      </w:r>
      <w:r>
        <w:t xml:space="preserve">npaid </w:t>
      </w:r>
      <w:r w:rsidR="001E3173">
        <w:t>p</w:t>
      </w:r>
      <w:r>
        <w:t>rizes and funds in cashless wallets</w:t>
      </w:r>
    </w:p>
    <w:p w14:paraId="61848D28" w14:textId="77777777" w:rsidR="0081733D" w:rsidRDefault="0081733D" w:rsidP="0081733D">
      <w:r>
        <w:t>Upon changing the venue operator of a gaming venue, any associated liabilities regarding outstanding tickets and unclaimed monies/tickets must be accounted for, and unpaid jackpot prizes settled in line with the requirements under section 3.6.1B of the Act. This should include:</w:t>
      </w:r>
    </w:p>
    <w:p w14:paraId="352823E1" w14:textId="78927EEF" w:rsidR="0081733D" w:rsidRDefault="0081733D" w:rsidP="001E3173">
      <w:pPr>
        <w:pStyle w:val="Bullet1"/>
      </w:pPr>
      <w:r>
        <w:t>accounting for all tickets issued from gaming machines, CRTs or operator terminals, and monies in cashless wallets, as part of the settlement process, that must be honoured by the new venue operator</w:t>
      </w:r>
    </w:p>
    <w:p w14:paraId="21762C8B" w14:textId="4AF5FC37" w:rsidR="0081733D" w:rsidRDefault="0081733D" w:rsidP="0081733D">
      <w:pPr>
        <w:pStyle w:val="Bullet1"/>
      </w:pPr>
      <w:r>
        <w:t xml:space="preserve">accounting for any outstanding liabilities for unclaimed prizes that must be remitted to the relevant collection agency, by the outgoing owner, at time of settlement. </w:t>
      </w:r>
    </w:p>
    <w:p w14:paraId="48725BD8" w14:textId="3CDEEF39" w:rsidR="0081733D" w:rsidRDefault="0081733D" w:rsidP="001E3173">
      <w:pPr>
        <w:pStyle w:val="Heading3"/>
      </w:pPr>
      <w:r>
        <w:t xml:space="preserve">Accounting for </w:t>
      </w:r>
      <w:r w:rsidR="001E3173">
        <w:t>j</w:t>
      </w:r>
      <w:r>
        <w:t>ackpots that have not been paid out</w:t>
      </w:r>
    </w:p>
    <w:p w14:paraId="378E913C" w14:textId="4FBDB9E0" w:rsidR="0081733D" w:rsidRDefault="0081733D" w:rsidP="0081733D">
      <w:r>
        <w:t>Section 3.6.1B of the Act states that</w:t>
      </w:r>
      <w:r w:rsidR="001E3173">
        <w:t xml:space="preserve"> </w:t>
      </w:r>
      <w:r>
        <w:t>if a venue operator is in possession of funds in a jackpot special prize pool that have not been paid out at the time of</w:t>
      </w:r>
      <w:r w:rsidR="001E3173">
        <w:t>:</w:t>
      </w:r>
      <w:r>
        <w:t xml:space="preserve"> </w:t>
      </w:r>
    </w:p>
    <w:p w14:paraId="7366817C" w14:textId="33D2AD07" w:rsidR="0081733D" w:rsidRDefault="0081733D" w:rsidP="001E3173">
      <w:pPr>
        <w:pStyle w:val="Bullet1"/>
      </w:pPr>
      <w:r>
        <w:t xml:space="preserve">the venue operator ceasing to hold a venue operator's licence; or </w:t>
      </w:r>
    </w:p>
    <w:p w14:paraId="3E827852" w14:textId="3A3A06D2" w:rsidR="0081733D" w:rsidRDefault="0081733D" w:rsidP="001E3173">
      <w:pPr>
        <w:pStyle w:val="Bullet1"/>
      </w:pPr>
      <w:r>
        <w:t xml:space="preserve">the venue operator ceasing to hold any gaming machine entitlements; or </w:t>
      </w:r>
    </w:p>
    <w:p w14:paraId="2E4EA873" w14:textId="3DCC435C" w:rsidR="0081733D" w:rsidRDefault="0081733D" w:rsidP="001E3173">
      <w:pPr>
        <w:pStyle w:val="Bullet1"/>
      </w:pPr>
      <w:r>
        <w:t xml:space="preserve">the venue operator not operating jackpots for 6 months. </w:t>
      </w:r>
    </w:p>
    <w:p w14:paraId="25AF79D7" w14:textId="404EEAF5" w:rsidR="0081733D" w:rsidRDefault="0081733D" w:rsidP="0081733D">
      <w:r>
        <w:t xml:space="preserve">The venue operator must pay an amount equal to the funds in the jackpot special prize pool to the Treasurer for payment into the Responsible Gambling Fund under section 19 of the </w:t>
      </w:r>
      <w:r w:rsidRPr="001E3173">
        <w:rPr>
          <w:i/>
          <w:iCs/>
        </w:rPr>
        <w:t>Victorian Responsible Gambling Foundation Act 2011</w:t>
      </w:r>
      <w:r>
        <w:t xml:space="preserve">. </w:t>
      </w:r>
    </w:p>
    <w:p w14:paraId="1034FD03" w14:textId="2947AC35" w:rsidR="0081733D" w:rsidRDefault="001F6363" w:rsidP="0081733D">
      <w:r>
        <w:br w:type="column"/>
      </w:r>
      <w:r w:rsidR="0081733D">
        <w:t xml:space="preserve">As required under section 3.6.1B of the Act, upon sale of a venue (which means the cessation of the venue operator’s licence and holding of gaming machine entitlements attached to that venue) the outgoing venue operator must ensure any outstanding Jackpot Special Prize Pool (JSPP) balance is remitted to the Treasurer, for further payment into the Responsible Gambling Fund (RGF).  </w:t>
      </w:r>
    </w:p>
    <w:p w14:paraId="7C1F544C" w14:textId="21B32A0B" w:rsidR="0081733D" w:rsidRDefault="0081733D" w:rsidP="0081733D">
      <w:r>
        <w:t>It is noted that the JSPP is only applicable for a particular venue. Unpaid jackpot prizes are not transferrable between gaming venues owned by the same gaming operator.</w:t>
      </w:r>
    </w:p>
    <w:p w14:paraId="4FD610A9" w14:textId="7160B7B8" w:rsidR="0081733D" w:rsidRDefault="0081733D" w:rsidP="0081733D">
      <w:r>
        <w:t>Both the Commission and the monitoring licensee must be advised of the effective handover date at least two weeks prior to the venue changing hands to allow for the required processes to occur.</w:t>
      </w:r>
    </w:p>
    <w:p w14:paraId="57E7CBEF" w14:textId="2674F1E0" w:rsidR="0081733D" w:rsidRDefault="0081733D" w:rsidP="0081733D">
      <w:r>
        <w:t>Details in relation to Accounting for Unpaid Jackpots are further articulated in section 2.5 of this document.</w:t>
      </w:r>
    </w:p>
    <w:p w14:paraId="3EF247A9" w14:textId="77777777" w:rsidR="001E3173" w:rsidRDefault="001E3173">
      <w:pPr>
        <w:spacing w:after="0" w:line="240" w:lineRule="auto"/>
        <w:sectPr w:rsidR="001E3173" w:rsidSect="001E3173">
          <w:type w:val="continuous"/>
          <w:pgSz w:w="11900" w:h="16840"/>
          <w:pgMar w:top="1418" w:right="851" w:bottom="1814" w:left="851" w:header="709" w:footer="567" w:gutter="0"/>
          <w:cols w:num="2" w:space="720"/>
          <w:titlePg/>
          <w:docGrid w:linePitch="360"/>
        </w:sectPr>
      </w:pPr>
    </w:p>
    <w:p w14:paraId="6F6FE4BB" w14:textId="28D643C3" w:rsidR="001E3173" w:rsidRDefault="001E3173">
      <w:pPr>
        <w:spacing w:after="0" w:line="240" w:lineRule="auto"/>
      </w:pPr>
      <w:r>
        <w:br w:type="page"/>
      </w:r>
    </w:p>
    <w:p w14:paraId="10EB1BBD" w14:textId="74CBA276" w:rsidR="001E3173" w:rsidRDefault="001E3173" w:rsidP="00E12E2F">
      <w:pPr>
        <w:pStyle w:val="Heading1"/>
      </w:pPr>
      <w:bookmarkStart w:id="19" w:name="_Toc114465556"/>
      <w:r>
        <w:lastRenderedPageBreak/>
        <w:t>Gaming reconciliation requirements</w:t>
      </w:r>
      <w:bookmarkEnd w:id="19"/>
    </w:p>
    <w:p w14:paraId="535F1B86" w14:textId="77777777" w:rsidR="005E033F" w:rsidRDefault="005E033F" w:rsidP="00E12E2F">
      <w:pPr>
        <w:pStyle w:val="Heading1"/>
        <w:sectPr w:rsidR="005E033F" w:rsidSect="001E3173">
          <w:type w:val="continuous"/>
          <w:pgSz w:w="11900" w:h="16840"/>
          <w:pgMar w:top="1418" w:right="851" w:bottom="1814" w:left="851" w:header="709" w:footer="567" w:gutter="0"/>
          <w:cols w:space="720"/>
          <w:titlePg/>
          <w:docGrid w:linePitch="360"/>
        </w:sectPr>
      </w:pPr>
    </w:p>
    <w:p w14:paraId="671E09BF" w14:textId="1F5D45EA" w:rsidR="00E12E2F" w:rsidRPr="00E12E2F" w:rsidRDefault="00E12E2F" w:rsidP="00E12E2F">
      <w:pPr>
        <w:pStyle w:val="Heading2"/>
        <w:numPr>
          <w:ilvl w:val="0"/>
          <w:numId w:val="0"/>
        </w:numPr>
      </w:pPr>
      <w:bookmarkStart w:id="20" w:name="_Toc114465557"/>
      <w:r>
        <w:t xml:space="preserve">2.1 </w:t>
      </w:r>
      <w:r w:rsidR="001E3173" w:rsidRPr="00E12E2F">
        <w:t>Electronic gaming machine data recording and reporting</w:t>
      </w:r>
      <w:bookmarkEnd w:id="20"/>
    </w:p>
    <w:p w14:paraId="1C3738A8" w14:textId="201CE7E8" w:rsidR="001E3173" w:rsidRPr="001E3173" w:rsidRDefault="001E3173" w:rsidP="001E3173">
      <w:pPr>
        <w:pStyle w:val="Heading3"/>
      </w:pPr>
      <w:r w:rsidRPr="001E3173">
        <w:t>Soft meter recording</w:t>
      </w:r>
    </w:p>
    <w:p w14:paraId="4A3D4BC1" w14:textId="3160C548" w:rsidR="001E3173" w:rsidRDefault="001E3173" w:rsidP="000E18C4">
      <w:pPr>
        <w:spacing w:line="260" w:lineRule="atLeast"/>
      </w:pPr>
      <w:r>
        <w:t>Soft meters represent electronically recorded gross meters, stored within a gaming machine, which also increment proportionally to the level of gaming activity conducted on the machine.</w:t>
      </w:r>
    </w:p>
    <w:p w14:paraId="2A464B65" w14:textId="4A04B356" w:rsidR="001E3173" w:rsidRDefault="001E3173" w:rsidP="000E18C4">
      <w:pPr>
        <w:spacing w:line="260" w:lineRule="atLeast"/>
      </w:pPr>
      <w:r>
        <w:t xml:space="preserve">Soft meter readings must be independently recorded/verified by the venue from each gaming machine </w:t>
      </w:r>
      <w:proofErr w:type="gramStart"/>
      <w:r>
        <w:t>on a daily basis</w:t>
      </w:r>
      <w:proofErr w:type="gramEnd"/>
      <w:r>
        <w:t xml:space="preserve"> to allow for the reconciliation of daily polled data received from the monitoring licensee. </w:t>
      </w:r>
    </w:p>
    <w:p w14:paraId="2460E351" w14:textId="6B0F6E3B" w:rsidR="001E3173" w:rsidRDefault="001E3173" w:rsidP="000E18C4">
      <w:pPr>
        <w:spacing w:line="260" w:lineRule="atLeast"/>
      </w:pPr>
      <w:r>
        <w:t>At a minimum, the following soft meter readings must be recorded:</w:t>
      </w:r>
    </w:p>
    <w:p w14:paraId="33FD64C1" w14:textId="67E4DAE9" w:rsidR="001E3173" w:rsidRDefault="001E3173" w:rsidP="000E18C4">
      <w:pPr>
        <w:pStyle w:val="Bullet1"/>
        <w:spacing w:line="260" w:lineRule="atLeast"/>
      </w:pPr>
      <w:r>
        <w:t>Credits played/turnover</w:t>
      </w:r>
    </w:p>
    <w:p w14:paraId="1B0F2126" w14:textId="711F5419" w:rsidR="001E3173" w:rsidRDefault="001E3173" w:rsidP="000E18C4">
      <w:pPr>
        <w:pStyle w:val="Bullet1"/>
        <w:spacing w:line="260" w:lineRule="atLeast"/>
      </w:pPr>
      <w:r>
        <w:t>Credits won</w:t>
      </w:r>
    </w:p>
    <w:p w14:paraId="2E776AE6" w14:textId="5D73D88A" w:rsidR="001E3173" w:rsidRDefault="001E3173" w:rsidP="000E18C4">
      <w:pPr>
        <w:pStyle w:val="Bullet1"/>
        <w:spacing w:line="260" w:lineRule="atLeast"/>
      </w:pPr>
      <w:r>
        <w:t>Total cash in</w:t>
      </w:r>
    </w:p>
    <w:p w14:paraId="3A7970D5" w14:textId="035A5125" w:rsidR="001E3173" w:rsidRDefault="001E3173" w:rsidP="000E18C4">
      <w:pPr>
        <w:pStyle w:val="Bullet1"/>
        <w:spacing w:line="260" w:lineRule="atLeast"/>
      </w:pPr>
      <w:r>
        <w:t>Total cash out</w:t>
      </w:r>
    </w:p>
    <w:p w14:paraId="3F9742EA" w14:textId="25B5D9F9" w:rsidR="001E3173" w:rsidRDefault="001E3173" w:rsidP="000E18C4">
      <w:pPr>
        <w:spacing w:line="260" w:lineRule="atLeast"/>
      </w:pPr>
      <w:r>
        <w:t>A venue operator may use electronically available gross soft meters to meet this requirement however these meters must be</w:t>
      </w:r>
      <w:r w:rsidRPr="00ED4870">
        <w:rPr>
          <w:b/>
          <w:bCs/>
        </w:rPr>
        <w:t xml:space="preserve"> independently</w:t>
      </w:r>
      <w:r>
        <w:t xml:space="preserve"> and </w:t>
      </w:r>
      <w:r w:rsidRPr="00ED4870">
        <w:rPr>
          <w:b/>
          <w:bCs/>
        </w:rPr>
        <w:t xml:space="preserve">physically </w:t>
      </w:r>
      <w:r>
        <w:t xml:space="preserve">verified with the meters in each gaming machine </w:t>
      </w:r>
      <w:proofErr w:type="gramStart"/>
      <w:r>
        <w:t>on a daily basis</w:t>
      </w:r>
      <w:proofErr w:type="gramEnd"/>
      <w:r>
        <w:t xml:space="preserve"> prior to the commencement of the next day’s gaming trade.</w:t>
      </w:r>
    </w:p>
    <w:p w14:paraId="6F107309" w14:textId="280A1434" w:rsidR="001E3173" w:rsidRDefault="001E3173" w:rsidP="000E18C4">
      <w:pPr>
        <w:spacing w:line="260" w:lineRule="atLeast"/>
      </w:pPr>
      <w:r>
        <w:t>The venue operator must maintain daily evidence of the verification performed, including a hard copy of the electronic soft meter readings used and signatory verification on this required source document.</w:t>
      </w:r>
    </w:p>
    <w:p w14:paraId="36CF8E88" w14:textId="2CCFDA3D" w:rsidR="001E3173" w:rsidRDefault="001E3173" w:rsidP="000E18C4">
      <w:pPr>
        <w:spacing w:line="260" w:lineRule="atLeast"/>
      </w:pPr>
      <w:r>
        <w:t xml:space="preserve">A venue must retain evidence of investigating and rectifying any discrepancies detected during reconciliation of soft meters and polled data. Evidence may include, but is not limited to, file notes of discussions with key stakeholders such as the monitoring licensee/technicians, screen shots of physical machine meters, etc. </w:t>
      </w:r>
    </w:p>
    <w:p w14:paraId="1AFC57F8" w14:textId="7A338A39" w:rsidR="001E3173" w:rsidRDefault="001E3173" w:rsidP="000E18C4">
      <w:pPr>
        <w:spacing w:line="260" w:lineRule="atLeast"/>
      </w:pPr>
      <w:r>
        <w:t xml:space="preserve">Any variances that have not been adequately investigated by a venue may result in disciplinary action for failure to comply with these requirements. </w:t>
      </w:r>
    </w:p>
    <w:p w14:paraId="483E2CA7" w14:textId="61AC5540" w:rsidR="001E3173" w:rsidRDefault="000F4297" w:rsidP="000F4297">
      <w:pPr>
        <w:pStyle w:val="Heading3"/>
      </w:pPr>
      <w:r>
        <w:br w:type="column"/>
      </w:r>
      <w:r w:rsidR="001E3173">
        <w:t>Time to record soft meters</w:t>
      </w:r>
    </w:p>
    <w:p w14:paraId="0821F36A" w14:textId="3F0783F0" w:rsidR="001E3173" w:rsidRDefault="001E3173" w:rsidP="000E18C4">
      <w:pPr>
        <w:spacing w:line="260" w:lineRule="atLeast"/>
      </w:pPr>
      <w:r>
        <w:t>All meters must be recorded at the conclusion of gaming at the venue. The gaming venue must be closed to gaming patrons and all machines must be vacated before commencing the recording process.</w:t>
      </w:r>
    </w:p>
    <w:p w14:paraId="72CFE092" w14:textId="71B16F4B" w:rsidR="001E3173" w:rsidRDefault="001E3173" w:rsidP="000E18C4">
      <w:pPr>
        <w:spacing w:line="260" w:lineRule="atLeast"/>
      </w:pPr>
      <w:r>
        <w:t xml:space="preserve">When recording meters on the morning prior to the day’s gaming, meters must, where possible, be recorded after the daily polling time and prior to the commencement of trade on the day. </w:t>
      </w:r>
    </w:p>
    <w:p w14:paraId="5E96FDAF" w14:textId="53DD73D4" w:rsidR="001E3173" w:rsidRDefault="001E3173" w:rsidP="000E18C4">
      <w:pPr>
        <w:spacing w:line="260" w:lineRule="atLeast"/>
      </w:pPr>
      <w:r>
        <w:t>Where trading continues past the daily polling time, the meters should be recorded at a consistent time across each day.</w:t>
      </w:r>
    </w:p>
    <w:p w14:paraId="488CBC9D" w14:textId="5023F5C2" w:rsidR="001E3173" w:rsidRDefault="001E3173" w:rsidP="001E3173">
      <w:pPr>
        <w:pStyle w:val="Heading3"/>
      </w:pPr>
      <w:r>
        <w:t>Large payouts/cheque register</w:t>
      </w:r>
    </w:p>
    <w:p w14:paraId="0183216F" w14:textId="719EE1B6" w:rsidR="001E3173" w:rsidRDefault="001E3173" w:rsidP="001E3173">
      <w:r>
        <w:t>Section 3.5.33 of the Act requires that:</w:t>
      </w:r>
    </w:p>
    <w:p w14:paraId="1EA661B7" w14:textId="0697BD81" w:rsidR="001E3173" w:rsidRDefault="001E3173" w:rsidP="00693ABB">
      <w:pPr>
        <w:pStyle w:val="Bullet1"/>
        <w:numPr>
          <w:ilvl w:val="0"/>
          <w:numId w:val="33"/>
        </w:numPr>
        <w:spacing w:after="120"/>
      </w:pPr>
      <w:r>
        <w:t>If a person has $2000 or more worth of accumulated credits on a gaming machine, the venue operator or gaming operator must not pay out, or allow another person to pay out, any of those credits except in accordance with subsection (2) or (3).</w:t>
      </w:r>
    </w:p>
    <w:p w14:paraId="6FFF5A68" w14:textId="6FA450BD" w:rsidR="001E3173" w:rsidRDefault="001E3173" w:rsidP="001E3173">
      <w:pPr>
        <w:ind w:firstLine="426"/>
      </w:pPr>
      <w:r w:rsidRPr="001E3173">
        <w:rPr>
          <w:b/>
          <w:bCs/>
        </w:rPr>
        <w:t>Penalty:</w:t>
      </w:r>
      <w:r>
        <w:t xml:space="preserve"> 60 penalty units.</w:t>
      </w:r>
    </w:p>
    <w:p w14:paraId="323C4493" w14:textId="223D4931" w:rsidR="001E3173" w:rsidRDefault="001E3173" w:rsidP="00693ABB">
      <w:pPr>
        <w:pStyle w:val="Bullet1"/>
        <w:numPr>
          <w:ilvl w:val="0"/>
          <w:numId w:val="33"/>
        </w:numPr>
        <w:spacing w:after="120"/>
      </w:pPr>
      <w:r>
        <w:t>A venue operator or gaming operator must, at the request of a person, pay out any accumulated credits from a gaming machine to the person by cheque that is not payable to cash.</w:t>
      </w:r>
    </w:p>
    <w:p w14:paraId="4D1F9624" w14:textId="5CF93EDB" w:rsidR="001E3173" w:rsidRPr="001E3173" w:rsidRDefault="001E3173" w:rsidP="000E18C4">
      <w:pPr>
        <w:ind w:firstLine="426"/>
        <w:rPr>
          <w:b/>
          <w:bCs/>
        </w:rPr>
      </w:pPr>
      <w:r w:rsidRPr="001E3173">
        <w:rPr>
          <w:b/>
          <w:bCs/>
        </w:rPr>
        <w:t xml:space="preserve">Penalty: </w:t>
      </w:r>
      <w:r w:rsidRPr="001E3173">
        <w:t>60 penalty units.</w:t>
      </w:r>
    </w:p>
    <w:p w14:paraId="4FCFBBA5" w14:textId="5FC0529F" w:rsidR="001E3173" w:rsidRDefault="001E3173" w:rsidP="00693ABB">
      <w:pPr>
        <w:pStyle w:val="Bullet1"/>
        <w:numPr>
          <w:ilvl w:val="0"/>
          <w:numId w:val="33"/>
        </w:numPr>
      </w:pPr>
      <w:r>
        <w:t>A venue operator must, at the request of a person</w:t>
      </w:r>
      <w:r w:rsidR="005E033F">
        <w:t>:</w:t>
      </w:r>
    </w:p>
    <w:p w14:paraId="6F5E773D" w14:textId="4357FE24" w:rsidR="001E3173" w:rsidRDefault="001E3173" w:rsidP="001E3173">
      <w:pPr>
        <w:pStyle w:val="Bullet2"/>
      </w:pPr>
      <w:r>
        <w:t>pay out any accumulated credits from a gaming machine to the person by electronic funds transfer</w:t>
      </w:r>
    </w:p>
    <w:p w14:paraId="1611583F" w14:textId="21BD855E" w:rsidR="001E3173" w:rsidRDefault="001E3173" w:rsidP="000E18C4">
      <w:pPr>
        <w:pStyle w:val="Bullet2"/>
        <w:spacing w:after="120"/>
      </w:pPr>
      <w:r>
        <w:t>if at least $2</w:t>
      </w:r>
      <w:r w:rsidR="000E18C4">
        <w:t>,</w:t>
      </w:r>
      <w:r>
        <w:t>000 is to be transferred, transfer those funds in a way that means they are not available to the person for 24 hours after the transfer.</w:t>
      </w:r>
    </w:p>
    <w:p w14:paraId="1359FD28" w14:textId="0EB80480" w:rsidR="001E3173" w:rsidRDefault="001E3173" w:rsidP="000F4297">
      <w:pPr>
        <w:ind w:firstLine="426"/>
      </w:pPr>
      <w:r w:rsidRPr="001E3173">
        <w:rPr>
          <w:b/>
          <w:bCs/>
        </w:rPr>
        <w:t xml:space="preserve">Penalty: </w:t>
      </w:r>
      <w:r w:rsidRPr="001E3173">
        <w:t>60 penalty units.</w:t>
      </w:r>
      <w:r w:rsidR="000F4297">
        <w:br w:type="column"/>
      </w:r>
      <w:r>
        <w:lastRenderedPageBreak/>
        <w:t>Subsection 3 does not apply to a venue operator who does not have the facilities to make the electronic funds transfer described in that subsection.</w:t>
      </w:r>
    </w:p>
    <w:p w14:paraId="1DBCB5FE" w14:textId="10A50009" w:rsidR="001E3173" w:rsidRDefault="001E3173" w:rsidP="001E3173">
      <w:r>
        <w:t>A ‘large win register’ must be maintained to allow for identification and monitoring of all significant/large gaming machine wins</w:t>
      </w:r>
      <w:r w:rsidR="00B133C9">
        <w:rPr>
          <w:rStyle w:val="FootnoteReference"/>
        </w:rPr>
        <w:footnoteReference w:id="1"/>
      </w:r>
      <w:r>
        <w:t xml:space="preserve"> as well as all payments made via cheque or EFTPOS (regardless of the amount). The register must enable the identification and verification of the large win details </w:t>
      </w:r>
      <w:proofErr w:type="gramStart"/>
      <w:r>
        <w:t>and also</w:t>
      </w:r>
      <w:proofErr w:type="gramEnd"/>
      <w:r>
        <w:t xml:space="preserve"> the patron to which the payout was made.</w:t>
      </w:r>
    </w:p>
    <w:p w14:paraId="3E7C6736" w14:textId="01D91690" w:rsidR="001E3173" w:rsidRDefault="001E3173" w:rsidP="001E3173">
      <w:r>
        <w:t>The following details must be recorded in the large win register:</w:t>
      </w:r>
    </w:p>
    <w:p w14:paraId="45905929" w14:textId="38EBD2A1" w:rsidR="001E3173" w:rsidRDefault="001E3173" w:rsidP="001E3173">
      <w:pPr>
        <w:pStyle w:val="Bullet1"/>
      </w:pPr>
      <w:r>
        <w:t>transaction date</w:t>
      </w:r>
    </w:p>
    <w:p w14:paraId="4DB94BDE" w14:textId="6B243B39" w:rsidR="001E3173" w:rsidRDefault="001E3173" w:rsidP="001E3173">
      <w:pPr>
        <w:pStyle w:val="Bullet1"/>
      </w:pPr>
      <w:r>
        <w:t>cheque number (if payment made by cheque)</w:t>
      </w:r>
    </w:p>
    <w:p w14:paraId="58A0528C" w14:textId="072D00A8" w:rsidR="001E3173" w:rsidRDefault="001E3173" w:rsidP="001E3173">
      <w:pPr>
        <w:pStyle w:val="Bullet1"/>
      </w:pPr>
      <w:r>
        <w:t>BSB and account number (if payment made by EFTPOS)</w:t>
      </w:r>
    </w:p>
    <w:p w14:paraId="198BA8F7" w14:textId="7194971D" w:rsidR="001E3173" w:rsidRDefault="001E3173" w:rsidP="001E3173">
      <w:pPr>
        <w:pStyle w:val="Bullet1"/>
      </w:pPr>
      <w:r>
        <w:t>gaming machine floor position number</w:t>
      </w:r>
    </w:p>
    <w:p w14:paraId="1DDDD8FC" w14:textId="0AA66E46" w:rsidR="001E3173" w:rsidRDefault="001E3173" w:rsidP="001E3173">
      <w:pPr>
        <w:pStyle w:val="Bullet1"/>
      </w:pPr>
      <w:r>
        <w:t>reason for payment (accumulation of credits and/or single win)</w:t>
      </w:r>
    </w:p>
    <w:p w14:paraId="62D9F970" w14:textId="330E5367" w:rsidR="001E3173" w:rsidRDefault="001E3173" w:rsidP="001E3173">
      <w:pPr>
        <w:pStyle w:val="Bullet1"/>
      </w:pPr>
      <w:r>
        <w:t>payee details (name, identification provided, etc)</w:t>
      </w:r>
    </w:p>
    <w:p w14:paraId="5F4318E0" w14:textId="39585816" w:rsidR="001E3173" w:rsidRDefault="001E3173" w:rsidP="001E3173">
      <w:pPr>
        <w:pStyle w:val="Bullet1"/>
      </w:pPr>
      <w:r>
        <w:t>amount paid</w:t>
      </w:r>
    </w:p>
    <w:p w14:paraId="2C1E2563" w14:textId="3C30CDD0" w:rsidR="001E3173" w:rsidRDefault="001E3173" w:rsidP="001E3173">
      <w:pPr>
        <w:pStyle w:val="Bullet1"/>
      </w:pPr>
      <w:r>
        <w:t>the authorisation/validation number of the ticket/book pay</w:t>
      </w:r>
    </w:p>
    <w:p w14:paraId="1B8D22E8" w14:textId="3C406C98" w:rsidR="001E3173" w:rsidRDefault="001E3173" w:rsidP="001E3173">
      <w:pPr>
        <w:pStyle w:val="Bullet1"/>
      </w:pPr>
      <w:r>
        <w:t>details of the venue staff authorising/issuing payment</w:t>
      </w:r>
    </w:p>
    <w:p w14:paraId="2FB2954D" w14:textId="0A249E88" w:rsidR="001E3173" w:rsidRDefault="001E3173" w:rsidP="001E3173">
      <w:pPr>
        <w:pStyle w:val="Bullet1"/>
      </w:pPr>
      <w:r>
        <w:t xml:space="preserve">copies of other documentation deemed necessary by the venue, </w:t>
      </w:r>
      <w:r w:rsidR="008D65E9">
        <w:t>i.e.,</w:t>
      </w:r>
      <w:r>
        <w:t xml:space="preserve"> ticket, identification, etc.</w:t>
      </w:r>
    </w:p>
    <w:p w14:paraId="0F5416F1" w14:textId="7761C9EA" w:rsidR="001E3173" w:rsidRDefault="000E18C4" w:rsidP="00E12E2F">
      <w:pPr>
        <w:pStyle w:val="Heading2"/>
        <w:numPr>
          <w:ilvl w:val="0"/>
          <w:numId w:val="0"/>
        </w:numPr>
        <w:ind w:left="576" w:hanging="576"/>
      </w:pPr>
      <w:r>
        <w:br w:type="column"/>
      </w:r>
      <w:bookmarkStart w:id="21" w:name="_Toc114465558"/>
      <w:r w:rsidR="00E12E2F">
        <w:t xml:space="preserve">2.2 </w:t>
      </w:r>
      <w:r w:rsidR="001E3173">
        <w:t>Data analysis and adjustments</w:t>
      </w:r>
      <w:bookmarkEnd w:id="21"/>
    </w:p>
    <w:p w14:paraId="35CE2C1A" w14:textId="7BFAC8E1" w:rsidR="001E3173" w:rsidRDefault="001E3173" w:rsidP="001E3173">
      <w:pPr>
        <w:pStyle w:val="Heading3"/>
      </w:pPr>
      <w:r>
        <w:t>Ensuring the accuracy of reported gaming data</w:t>
      </w:r>
    </w:p>
    <w:p w14:paraId="32D8B43D" w14:textId="7ED36911" w:rsidR="001E3173" w:rsidRDefault="001E3173" w:rsidP="001E3173">
      <w:r>
        <w:t xml:space="preserve">The venue operator must ensure the accuracy and completeness of polled financial data reported by the monitoring licensee in relation to gaming machines at the venue. </w:t>
      </w:r>
    </w:p>
    <w:p w14:paraId="6B5A0513" w14:textId="585CE53E" w:rsidR="001E3173" w:rsidRDefault="001E3173" w:rsidP="001E3173">
      <w:r>
        <w:t xml:space="preserve">A venue operator must perform </w:t>
      </w:r>
      <w:proofErr w:type="gramStart"/>
      <w:r>
        <w:t>all of</w:t>
      </w:r>
      <w:proofErr w:type="gramEnd"/>
      <w:r>
        <w:t xml:space="preserve"> the necessary reconciliations and data analysis as identified in these requirements to ensure the accuracy of reported data.</w:t>
      </w:r>
    </w:p>
    <w:p w14:paraId="41961FF1" w14:textId="4AEBEFD7" w:rsidR="001E3173" w:rsidRDefault="001E3173" w:rsidP="001E3173">
      <w:r>
        <w:t>Any significant concerns regarding unexplained variances in a venue’s analysis of polled financial data should be addressed with the monitoring licensee, and evidence of such a process be retained by the venue in relation to each matter.</w:t>
      </w:r>
    </w:p>
    <w:p w14:paraId="350BE31B" w14:textId="37B87B43" w:rsidR="001E3173" w:rsidRDefault="001E3173" w:rsidP="00ED4870">
      <w:pPr>
        <w:pStyle w:val="Heading3"/>
      </w:pPr>
      <w:r>
        <w:t xml:space="preserve">Analysis of </w:t>
      </w:r>
      <w:r w:rsidR="00ED4870">
        <w:t>g</w:t>
      </w:r>
      <w:r>
        <w:t xml:space="preserve">aming </w:t>
      </w:r>
      <w:r w:rsidR="00ED4870">
        <w:t>m</w:t>
      </w:r>
      <w:r>
        <w:t xml:space="preserve">achine </w:t>
      </w:r>
      <w:r w:rsidR="00ED4870">
        <w:t>m</w:t>
      </w:r>
      <w:r>
        <w:t xml:space="preserve">eter </w:t>
      </w:r>
      <w:r w:rsidR="00ED4870">
        <w:t>e</w:t>
      </w:r>
      <w:r>
        <w:t>xceptions</w:t>
      </w:r>
    </w:p>
    <w:p w14:paraId="39B4FAB0" w14:textId="1B34572F" w:rsidR="001E3173" w:rsidRDefault="001E3173" w:rsidP="001E3173">
      <w:r>
        <w:t xml:space="preserve">To ensure the accuracy, </w:t>
      </w:r>
      <w:proofErr w:type="gramStart"/>
      <w:r>
        <w:t>integrity</w:t>
      </w:r>
      <w:proofErr w:type="gramEnd"/>
      <w:r>
        <w:t xml:space="preserve"> and completeness of taxable revenue at the conclusion of the month, the monitoring licensee will identify gaming machine meter exceptions that must be reviewed and cleared by the venue operator in a timely manner. Gaming machine meter exceptions include, but are not limited to:</w:t>
      </w:r>
    </w:p>
    <w:p w14:paraId="3B992DD4" w14:textId="5A61C528" w:rsidR="001E3173" w:rsidRDefault="00ED4870" w:rsidP="00ED4870">
      <w:pPr>
        <w:pStyle w:val="Bullet1"/>
      </w:pPr>
      <w:r>
        <w:rPr>
          <w:b/>
          <w:bCs/>
        </w:rPr>
        <w:t>m</w:t>
      </w:r>
      <w:r w:rsidR="001E3173" w:rsidRPr="00ED4870">
        <w:rPr>
          <w:b/>
          <w:bCs/>
        </w:rPr>
        <w:t xml:space="preserve">eter </w:t>
      </w:r>
      <w:r w:rsidRPr="00ED4870">
        <w:rPr>
          <w:b/>
          <w:bCs/>
        </w:rPr>
        <w:t>r</w:t>
      </w:r>
      <w:r w:rsidR="001E3173" w:rsidRPr="00ED4870">
        <w:rPr>
          <w:b/>
          <w:bCs/>
        </w:rPr>
        <w:t>ollover:</w:t>
      </w:r>
      <w:r w:rsidR="001E3173">
        <w:t xml:space="preserve"> machines where meters have declined in relation to the previous game date, </w:t>
      </w:r>
      <w:r w:rsidR="008D65E9">
        <w:t>i.e.,</w:t>
      </w:r>
      <w:r w:rsidR="001E3173">
        <w:t xml:space="preserve"> a master reset</w:t>
      </w:r>
    </w:p>
    <w:p w14:paraId="0E6B5D33" w14:textId="47BA2C91" w:rsidR="001E3173" w:rsidRDefault="00ED4870" w:rsidP="00ED4870">
      <w:pPr>
        <w:pStyle w:val="Bullet1"/>
      </w:pPr>
      <w:r>
        <w:rPr>
          <w:b/>
          <w:bCs/>
        </w:rPr>
        <w:t>r</w:t>
      </w:r>
      <w:r w:rsidR="001E3173" w:rsidRPr="00ED4870">
        <w:rPr>
          <w:b/>
          <w:bCs/>
        </w:rPr>
        <w:t xml:space="preserve">unaway </w:t>
      </w:r>
      <w:r w:rsidRPr="00ED4870">
        <w:rPr>
          <w:b/>
          <w:bCs/>
        </w:rPr>
        <w:t>m</w:t>
      </w:r>
      <w:r w:rsidR="001E3173" w:rsidRPr="00ED4870">
        <w:rPr>
          <w:b/>
          <w:bCs/>
        </w:rPr>
        <w:t>eters:</w:t>
      </w:r>
      <w:r w:rsidR="001E3173">
        <w:t xml:space="preserve"> machines where meters have reported excessive or irregular increment levels, </w:t>
      </w:r>
      <w:r w:rsidR="008D65E9">
        <w:t>i.e.,</w:t>
      </w:r>
      <w:r w:rsidR="001E3173">
        <w:t xml:space="preserve"> excessive metered information</w:t>
      </w:r>
    </w:p>
    <w:p w14:paraId="70396C3D" w14:textId="12ACEF86" w:rsidR="001E3173" w:rsidRDefault="00ED4870" w:rsidP="00ED4870">
      <w:pPr>
        <w:pStyle w:val="Bullet1"/>
      </w:pPr>
      <w:r>
        <w:rPr>
          <w:b/>
          <w:bCs/>
        </w:rPr>
        <w:t>a</w:t>
      </w:r>
      <w:r w:rsidR="001E3173" w:rsidRPr="00ED4870">
        <w:rPr>
          <w:b/>
          <w:bCs/>
        </w:rPr>
        <w:t xml:space="preserve">bnormal </w:t>
      </w:r>
      <w:r w:rsidRPr="00ED4870">
        <w:rPr>
          <w:b/>
          <w:bCs/>
        </w:rPr>
        <w:t>m</w:t>
      </w:r>
      <w:r w:rsidR="001E3173" w:rsidRPr="00ED4870">
        <w:rPr>
          <w:b/>
          <w:bCs/>
        </w:rPr>
        <w:t xml:space="preserve">eter </w:t>
      </w:r>
      <w:r w:rsidRPr="00ED4870">
        <w:rPr>
          <w:b/>
          <w:bCs/>
        </w:rPr>
        <w:t>i</w:t>
      </w:r>
      <w:r w:rsidR="001E3173" w:rsidRPr="00ED4870">
        <w:rPr>
          <w:b/>
          <w:bCs/>
        </w:rPr>
        <w:t>ncrements:</w:t>
      </w:r>
      <w:r w:rsidR="001E3173">
        <w:t xml:space="preserve"> data reported exceeds a predefined limit.</w:t>
      </w:r>
    </w:p>
    <w:p w14:paraId="4F7DF67B" w14:textId="24FF0ACD" w:rsidR="001E3173" w:rsidRDefault="00B133C9" w:rsidP="001E3173">
      <w:r>
        <w:br w:type="column"/>
      </w:r>
      <w:r w:rsidR="001E3173">
        <w:lastRenderedPageBreak/>
        <w:t>To facilitate timely and accurate collection of taxes, the venue operator must review all gaming machine meter exceptions and process necessary adjustments before the end of the second day after the conclusion of the calendar month to which the tax relates.</w:t>
      </w:r>
    </w:p>
    <w:p w14:paraId="0FFC6E76" w14:textId="0F6DA4D3" w:rsidR="001E3173" w:rsidRDefault="001E3173" w:rsidP="001E3173">
      <w:r>
        <w:t>Any adjustments processed after the second day concluding the end of the taxable month will not be included in the tax calculation and may result in a penalty interest charge due and payable by the venue operator.</w:t>
      </w:r>
    </w:p>
    <w:p w14:paraId="770BF7A0" w14:textId="03CE9E5C" w:rsidR="001E3173" w:rsidRDefault="001E3173" w:rsidP="001E3173">
      <w:r>
        <w:t>It is a venue operator’s responsibility to ensure they are familiar with the process for clearing gaming machine exceptions and raising necessary financial adjustments. A venue operator should consult with the monitoring licensee to ensure it has a detailed understanding of the process required to clear machine exceptions.</w:t>
      </w:r>
    </w:p>
    <w:p w14:paraId="09E01AA6" w14:textId="7AC3432C" w:rsidR="001E3173" w:rsidRDefault="001E3173" w:rsidP="001E3173">
      <w:r>
        <w:t>The Commission will be responsible for reviewing and acknowledging all gaming machine adjustments before the adjustments are included in the taxable revenue for the period.</w:t>
      </w:r>
    </w:p>
    <w:p w14:paraId="289B1ADE" w14:textId="6C3E889E" w:rsidR="001E3173" w:rsidRDefault="001E3173" w:rsidP="001E3173">
      <w:r>
        <w:t>If the Commission does not acknowledge an adjustment prior to the end of the second day concluding the end of the taxable month, it is the venue operator’s responsibility to ascertain why the adjustment was not acknowledged and re-adjust as required.</w:t>
      </w:r>
    </w:p>
    <w:p w14:paraId="1D761B46" w14:textId="5375E0D1" w:rsidR="001E3173" w:rsidRDefault="001E3173" w:rsidP="001E3173">
      <w:r>
        <w:t>Appropriate documentation must be maintained by the venue operator in relation to any analysis conducted into machine exceptions and adjustments raised.</w:t>
      </w:r>
    </w:p>
    <w:p w14:paraId="5F2F18E1" w14:textId="0B3D8DCE" w:rsidR="001E3173" w:rsidRDefault="001E3173" w:rsidP="001E3173">
      <w:r>
        <w:t>Supporting documentation may be requested by the Commission as part of the adjustment assessment process and must be readily accessible for all adjustments requiring validation.</w:t>
      </w:r>
    </w:p>
    <w:p w14:paraId="4F452D6B" w14:textId="674E106B" w:rsidR="001E3173" w:rsidRDefault="00B133C9" w:rsidP="00ED4870">
      <w:pPr>
        <w:pStyle w:val="Heading3"/>
      </w:pPr>
      <w:r>
        <w:br w:type="column"/>
      </w:r>
      <w:r w:rsidR="001E3173">
        <w:t xml:space="preserve">Outstanding </w:t>
      </w:r>
      <w:r w:rsidR="00ED4870">
        <w:t>g</w:t>
      </w:r>
      <w:r w:rsidR="001E3173">
        <w:t xml:space="preserve">aming </w:t>
      </w:r>
      <w:r w:rsidR="00ED4870">
        <w:t>m</w:t>
      </w:r>
      <w:r w:rsidR="001E3173">
        <w:t xml:space="preserve">achine </w:t>
      </w:r>
      <w:r w:rsidR="00ED4870">
        <w:t>e</w:t>
      </w:r>
      <w:r w:rsidR="001E3173">
        <w:t>xceptions at the end of the month</w:t>
      </w:r>
    </w:p>
    <w:p w14:paraId="1FF80F96" w14:textId="21F2F3F3" w:rsidR="001E3173" w:rsidRDefault="001E3173" w:rsidP="001E3173">
      <w:r>
        <w:t>Failure to correctly process a gaming machine adjustment in relation to a reported machine meter exception will result in the taxable revenue for the machine on the affected game day, being excluded from the calculation of gaming revenue.</w:t>
      </w:r>
    </w:p>
    <w:p w14:paraId="1F2D485E" w14:textId="38D8D0AF" w:rsidR="001E3173" w:rsidRDefault="001E3173" w:rsidP="001E3173">
      <w:r>
        <w:t>As a result, failure to review and correct all necessary meter exceptions within the month that they occur will result in penalty interest for the late payment of taxes as and when they are due.</w:t>
      </w:r>
    </w:p>
    <w:p w14:paraId="13731EDD" w14:textId="27D95CD3" w:rsidR="001E3173" w:rsidRDefault="001E3173" w:rsidP="001E3173">
      <w:r>
        <w:t>To highlight the impact of failing to process required adjustment, note the following example:</w:t>
      </w:r>
    </w:p>
    <w:p w14:paraId="6B944E90" w14:textId="709FA8EE" w:rsidR="001E3173" w:rsidRPr="00E12E2F" w:rsidRDefault="001E3173" w:rsidP="000E18C4">
      <w:pPr>
        <w:tabs>
          <w:tab w:val="left" w:pos="3402"/>
        </w:tabs>
        <w:ind w:left="720" w:right="61"/>
      </w:pPr>
      <w:r>
        <w:t xml:space="preserve">Machine 55 </w:t>
      </w:r>
      <w:r w:rsidRPr="00E12E2F">
        <w:t xml:space="preserve">at Venue </w:t>
      </w:r>
      <w:r w:rsidRPr="00E12E2F">
        <w:t>ABC has reported $500 in net revenue on 10 January 20</w:t>
      </w:r>
      <w:r w:rsidR="009B3FFD" w:rsidRPr="00E12E2F">
        <w:t>22</w:t>
      </w:r>
      <w:r w:rsidRPr="00E12E2F">
        <w:t xml:space="preserve"> yet also reported an exception on the day that must be reviewed and cleared by the venue operator. </w:t>
      </w:r>
    </w:p>
    <w:p w14:paraId="41A4C5F0" w14:textId="5892BF97" w:rsidR="001E3173" w:rsidRPr="00E12E2F" w:rsidRDefault="001E3173" w:rsidP="000E18C4">
      <w:pPr>
        <w:tabs>
          <w:tab w:val="left" w:pos="3402"/>
        </w:tabs>
        <w:ind w:left="720" w:right="61"/>
      </w:pPr>
      <w:r w:rsidRPr="00E12E2F">
        <w:t>On 3 February 20</w:t>
      </w:r>
      <w:r w:rsidR="009B3FFD" w:rsidRPr="00E12E2F">
        <w:t>22</w:t>
      </w:r>
      <w:r w:rsidRPr="00E12E2F">
        <w:t>, this exception had yet to be reviewed and cleared by the relevant gaming venue. The cut-off for raising adjustment has closed for the month of January at the end of 2 February 20</w:t>
      </w:r>
      <w:r w:rsidR="009B3FFD" w:rsidRPr="00E12E2F">
        <w:t>22</w:t>
      </w:r>
      <w:r w:rsidRPr="00E12E2F">
        <w:t>.</w:t>
      </w:r>
    </w:p>
    <w:p w14:paraId="665D2FAD" w14:textId="10CCF2C1" w:rsidR="001E3173" w:rsidRPr="00E12E2F" w:rsidRDefault="001E3173" w:rsidP="000E18C4">
      <w:pPr>
        <w:tabs>
          <w:tab w:val="left" w:pos="3402"/>
        </w:tabs>
        <w:ind w:left="720" w:right="61"/>
      </w:pPr>
      <w:r w:rsidRPr="00E12E2F">
        <w:t>The tax calculation performed by the monitoring licensee for January 20</w:t>
      </w:r>
      <w:r w:rsidR="009B3FFD" w:rsidRPr="00E12E2F">
        <w:t>22</w:t>
      </w:r>
      <w:r w:rsidRPr="00E12E2F">
        <w:t xml:space="preserve"> will not include the $500 revenue for Machine 55 in the tax calculation.</w:t>
      </w:r>
    </w:p>
    <w:p w14:paraId="7AA84B1E" w14:textId="218982FF" w:rsidR="001E3173" w:rsidRPr="00E12E2F" w:rsidRDefault="001E3173" w:rsidP="000E18C4">
      <w:pPr>
        <w:tabs>
          <w:tab w:val="left" w:pos="3402"/>
        </w:tabs>
        <w:ind w:left="720" w:right="61"/>
      </w:pPr>
      <w:r w:rsidRPr="00E12E2F">
        <w:t>The exception is subsequently cleared on 15 February 20</w:t>
      </w:r>
      <w:r w:rsidR="009B3FFD" w:rsidRPr="00E12E2F">
        <w:t>22</w:t>
      </w:r>
      <w:r w:rsidRPr="00E12E2F">
        <w:t xml:space="preserve">. </w:t>
      </w:r>
    </w:p>
    <w:p w14:paraId="09551964" w14:textId="4A9451B5" w:rsidR="001E3173" w:rsidRDefault="001E3173" w:rsidP="000E18C4">
      <w:pPr>
        <w:tabs>
          <w:tab w:val="left" w:pos="3402"/>
        </w:tabs>
        <w:ind w:left="720" w:right="61"/>
      </w:pPr>
      <w:r w:rsidRPr="00E12E2F">
        <w:t>The revenue for Machine 55 on the 10 January 20</w:t>
      </w:r>
      <w:r w:rsidR="009B3FFD" w:rsidRPr="00E12E2F">
        <w:t>22</w:t>
      </w:r>
      <w:r w:rsidRPr="00E12E2F">
        <w:t xml:space="preserve"> will be included in the February 20</w:t>
      </w:r>
      <w:r w:rsidR="009B3FFD" w:rsidRPr="00E12E2F">
        <w:t>22</w:t>
      </w:r>
      <w:r w:rsidRPr="00E12E2F">
        <w:t xml:space="preserve"> taxable revenue and be subject to penalty interest for the total unpaid revenue that should have been applied in January 20</w:t>
      </w:r>
      <w:r w:rsidR="009B3FFD" w:rsidRPr="00E12E2F">
        <w:t>22</w:t>
      </w:r>
      <w:r w:rsidRPr="00E12E2F">
        <w:t>.</w:t>
      </w:r>
    </w:p>
    <w:p w14:paraId="5C1B5FCB" w14:textId="5183B7CB" w:rsidR="00E12E2F" w:rsidRDefault="001E3173" w:rsidP="001E3173">
      <w:r>
        <w:t>To minimise the incurring of penalty interest a venue operator should look to clear all machine exceptions periodically within the taxable month.</w:t>
      </w:r>
    </w:p>
    <w:p w14:paraId="452ED138" w14:textId="77777777" w:rsidR="00E12E2F" w:rsidRDefault="00E12E2F">
      <w:pPr>
        <w:spacing w:after="0" w:line="240" w:lineRule="auto"/>
      </w:pPr>
      <w:r>
        <w:br w:type="page"/>
      </w:r>
    </w:p>
    <w:p w14:paraId="517CE8D7" w14:textId="4DD1D936" w:rsidR="001E3173" w:rsidRDefault="001E3173" w:rsidP="00ED4870">
      <w:pPr>
        <w:pStyle w:val="Heading3"/>
      </w:pPr>
      <w:r>
        <w:lastRenderedPageBreak/>
        <w:t xml:space="preserve">Unscheduled </w:t>
      </w:r>
      <w:r w:rsidR="00ED4870">
        <w:t>m</w:t>
      </w:r>
      <w:r>
        <w:t xml:space="preserve">aster </w:t>
      </w:r>
      <w:r w:rsidR="00ED4870">
        <w:t>r</w:t>
      </w:r>
      <w:r>
        <w:t>esets</w:t>
      </w:r>
    </w:p>
    <w:p w14:paraId="75734A74" w14:textId="56F61CA2" w:rsidR="001E3173" w:rsidRDefault="001E3173" w:rsidP="001E3173">
      <w:r>
        <w:t xml:space="preserve">An unscheduled master reset is a reset that has not been scheduled with the monitoring licensee, usually </w:t>
      </w:r>
      <w:proofErr w:type="gramStart"/>
      <w:r>
        <w:t>as a result of</w:t>
      </w:r>
      <w:proofErr w:type="gramEnd"/>
      <w:r>
        <w:t xml:space="preserve"> a gaming machine malfunction. The venue operator must ensure that unscheduled resets are, where possible, kept to a minimum and correct procedures are followed by notifying the monitoring licensee of all master resets performed.</w:t>
      </w:r>
    </w:p>
    <w:p w14:paraId="02275DAF" w14:textId="003045E5" w:rsidR="001E3173" w:rsidRDefault="001E3173" w:rsidP="001E3173">
      <w:r>
        <w:t>The monitoring licensee will provide a venue operator with the necessary steps required to ensure all gaming data is polled by the monitoring system prior to the conduct of any unscheduled master resets. These steps must be adhered to by the venue operator prior to the conduct of any unscheduled resets.</w:t>
      </w:r>
    </w:p>
    <w:p w14:paraId="626508BB" w14:textId="7D255E20" w:rsidR="001E3173" w:rsidRDefault="001E3173" w:rsidP="001E3173">
      <w:r>
        <w:t>A venue operator must assess all unscheduled master resets performed to ensure no missing trade has occurred and documentation must be maintained providing details of all resets conducted.</w:t>
      </w:r>
    </w:p>
    <w:p w14:paraId="6B00EDA9" w14:textId="77993C7F" w:rsidR="001E3173" w:rsidRDefault="001E3173" w:rsidP="001E3173">
      <w:r>
        <w:t>A venue operator must, prior to conducting a master reset on the gaming machine, as part of the cash collection process, record the all available meters for financial and audit purposes.</w:t>
      </w:r>
    </w:p>
    <w:p w14:paraId="2DD2DE3B" w14:textId="7FB88C87" w:rsidR="001E3173" w:rsidRDefault="001E3173" w:rsidP="00ED4870">
      <w:pPr>
        <w:pStyle w:val="Heading3"/>
      </w:pPr>
      <w:r>
        <w:t xml:space="preserve">Monitoring of </w:t>
      </w:r>
      <w:r w:rsidR="00ED4870">
        <w:t>t</w:t>
      </w:r>
      <w:r>
        <w:t xml:space="preserve">ickets issued by </w:t>
      </w:r>
      <w:r w:rsidR="00ED4870">
        <w:t>g</w:t>
      </w:r>
      <w:r>
        <w:t xml:space="preserve">aming </w:t>
      </w:r>
      <w:r w:rsidR="00ED4870">
        <w:t>m</w:t>
      </w:r>
      <w:r>
        <w:t>achines</w:t>
      </w:r>
    </w:p>
    <w:p w14:paraId="7198ADEC" w14:textId="5DFAE4B8" w:rsidR="001E3173" w:rsidRDefault="001E3173" w:rsidP="001E3173">
      <w:r>
        <w:t xml:space="preserve">Any reference to </w:t>
      </w:r>
      <w:r w:rsidR="00ED4870">
        <w:t>‘</w:t>
      </w:r>
      <w:r>
        <w:t>tickets</w:t>
      </w:r>
      <w:r w:rsidR="00ED4870">
        <w:t>’</w:t>
      </w:r>
      <w:r>
        <w:t xml:space="preserve"> in this document includes Ticket In-Ticket Out (TITO) tickets issued by the TITO system as well as hand pay tickets issued by the monitoring system. Ticket reports are generated by the relevant system that produces the ticket.</w:t>
      </w:r>
    </w:p>
    <w:p w14:paraId="23B0D7CE" w14:textId="6B40EEFC" w:rsidR="001E3173" w:rsidRDefault="001E3173" w:rsidP="001E3173">
      <w:r>
        <w:t xml:space="preserve">Venue operators must have procedures in place to monitor all tickets issued by gaming machines against all tickets redeemed and subsequently paid by the venue. </w:t>
      </w:r>
    </w:p>
    <w:p w14:paraId="6F85C3B9" w14:textId="70CA8E0E" w:rsidR="001E3173" w:rsidRDefault="001E3173" w:rsidP="00E12E2F">
      <w:pPr>
        <w:spacing w:after="120" w:line="240" w:lineRule="atLeast"/>
      </w:pPr>
      <w:proofErr w:type="gramStart"/>
      <w:r>
        <w:t>On a daily basis</w:t>
      </w:r>
      <w:proofErr w:type="gramEnd"/>
      <w:r>
        <w:t xml:space="preserve">, the venue operator must review the status of all tickets issued the previous trading day, together with the reports issued by the relevant system, in order to ensure that all tickets paid have been correctly redeemed at the time. </w:t>
      </w:r>
      <w:r w:rsidR="00B133C9">
        <w:br w:type="column"/>
      </w:r>
      <w:r>
        <w:t xml:space="preserve">This will ensure that a complete and accurate list of unclaimed tickets is maintained on the monitoring system (in the case of relevant hand pay tickets) and on the TITO system (in the case of TITO tickets) and will </w:t>
      </w:r>
      <w:r w:rsidR="00ED4870">
        <w:t>help</w:t>
      </w:r>
      <w:r>
        <w:t xml:space="preserve"> a venue operator to meet its obligations in relation to the reconciliation of tickets issued and redeemed.</w:t>
      </w:r>
    </w:p>
    <w:p w14:paraId="5063D473" w14:textId="611137FA" w:rsidR="001E3173" w:rsidRDefault="001E3173" w:rsidP="00E12E2F">
      <w:pPr>
        <w:spacing w:after="120" w:line="240" w:lineRule="atLeast"/>
      </w:pPr>
      <w:r>
        <w:t>A venue operator must not clear or attempt to redeem any tickets off the monitoring system or the TITO system unless it has a ticket which has been received from and paid to a gaming patron.</w:t>
      </w:r>
    </w:p>
    <w:p w14:paraId="68DF2209" w14:textId="6326AC40" w:rsidR="001E3173" w:rsidRDefault="001E3173" w:rsidP="00ED4870">
      <w:pPr>
        <w:pStyle w:val="Heading3"/>
      </w:pPr>
      <w:r>
        <w:t xml:space="preserve">Unclaimed </w:t>
      </w:r>
      <w:r w:rsidR="00ED4870">
        <w:t>p</w:t>
      </w:r>
      <w:r>
        <w:t>rizes/</w:t>
      </w:r>
      <w:r w:rsidR="00ED4870">
        <w:t>w</w:t>
      </w:r>
      <w:r>
        <w:t>innings</w:t>
      </w:r>
    </w:p>
    <w:p w14:paraId="7F7B55C9" w14:textId="1FB6902A" w:rsidR="001E3173" w:rsidRDefault="001E3173" w:rsidP="00E12E2F">
      <w:pPr>
        <w:spacing w:after="120" w:line="260" w:lineRule="atLeast"/>
      </w:pPr>
      <w:r>
        <w:t>A venue operator will be liable to pay the State Revenue Office (SRO) the value of unclaimed winnings that have been issued by gaming machines, which have not been redeemed within the defined period.</w:t>
      </w:r>
    </w:p>
    <w:p w14:paraId="3A657FB6" w14:textId="070AC361" w:rsidR="001E3173" w:rsidRDefault="001E3173" w:rsidP="00E12E2F">
      <w:pPr>
        <w:spacing w:after="120" w:line="260" w:lineRule="atLeast"/>
      </w:pPr>
      <w:r>
        <w:t>Section 3.6.13 of the Act, requires that</w:t>
      </w:r>
      <w:r w:rsidR="00ED4870">
        <w:t xml:space="preserve"> </w:t>
      </w:r>
      <w:r w:rsidR="003C558D">
        <w:t>‘</w:t>
      </w:r>
      <w:r w:rsidR="00ED4870">
        <w:t>o</w:t>
      </w:r>
      <w:r>
        <w:t>n or before 31 May each year a venue operator that held winnings on 1 March of that year that had remained unclaimed for not less than 12 months before 1 March must pay to the Treasurer an amount equal to the sum of all those unclaimed winnings less any amounts that have been paid to persons entitled to the winnings and any amounts deducted under subsection 2</w:t>
      </w:r>
      <w:r w:rsidR="003C558D">
        <w:t>’</w:t>
      </w:r>
      <w:r>
        <w:t>.</w:t>
      </w:r>
    </w:p>
    <w:p w14:paraId="498E1D4A" w14:textId="7D9C7BDE" w:rsidR="001E3173" w:rsidRDefault="001E3173" w:rsidP="00E12E2F">
      <w:pPr>
        <w:spacing w:after="120" w:line="260" w:lineRule="atLeast"/>
      </w:pPr>
      <w:r>
        <w:t>In this section</w:t>
      </w:r>
      <w:r w:rsidR="00ED4870">
        <w:t xml:space="preserve"> w</w:t>
      </w:r>
      <w:r>
        <w:t>innings means winnings from the playing of a gaming machine, including winnings in the form of</w:t>
      </w:r>
      <w:r w:rsidR="00ED4870">
        <w:t>:</w:t>
      </w:r>
    </w:p>
    <w:p w14:paraId="6C0681D0" w14:textId="200E0762" w:rsidR="001E3173" w:rsidRDefault="001E3173" w:rsidP="00E12E2F">
      <w:pPr>
        <w:pStyle w:val="Bullet1"/>
        <w:spacing w:after="120" w:line="260" w:lineRule="atLeast"/>
      </w:pPr>
      <w:r>
        <w:t>a cheque</w:t>
      </w:r>
    </w:p>
    <w:p w14:paraId="50AEF1E9" w14:textId="67A06686" w:rsidR="001E3173" w:rsidRDefault="001E3173" w:rsidP="00E12E2F">
      <w:pPr>
        <w:pStyle w:val="Bullet1"/>
        <w:spacing w:after="120" w:line="260" w:lineRule="atLeast"/>
      </w:pPr>
      <w:r>
        <w:t>a ticket or other instrument authorising the payment of winnings from the playing of a gaming machine (includes TITO tickets, hand pay tickets and any other voucher printed by a gaming machine</w:t>
      </w:r>
      <w:r w:rsidR="00ED4870">
        <w:t>)</w:t>
      </w:r>
    </w:p>
    <w:p w14:paraId="62836078" w14:textId="28CD2CE0" w:rsidR="001E3173" w:rsidRDefault="001E3173" w:rsidP="00E12E2F">
      <w:pPr>
        <w:pStyle w:val="Bullet1"/>
        <w:spacing w:after="120" w:line="260" w:lineRule="atLeast"/>
      </w:pPr>
      <w:r>
        <w:t>accumulated credits (including accumulated credits which have been downloaded from a gaming machine onto a player card/cashless wallet that has remained inactive)</w:t>
      </w:r>
    </w:p>
    <w:p w14:paraId="6518B9DA" w14:textId="60CCD1D9" w:rsidR="001E3173" w:rsidRDefault="001E3173" w:rsidP="00E12E2F">
      <w:pPr>
        <w:pStyle w:val="Bullet1"/>
        <w:spacing w:after="120" w:line="260" w:lineRule="atLeast"/>
      </w:pPr>
      <w:r>
        <w:t>any coins left in the coin tray of a gaming machine.</w:t>
      </w:r>
    </w:p>
    <w:p w14:paraId="67395B93" w14:textId="5B9EE5A5" w:rsidR="00E12E2F" w:rsidRDefault="001E3173" w:rsidP="00E12E2F">
      <w:pPr>
        <w:spacing w:after="120" w:line="260" w:lineRule="atLeast"/>
      </w:pPr>
      <w:r>
        <w:t>A venue operator must maintain a register of unpresented cheques, accumulated credits and any coins left in the coin tray of a gaming machine, to substantiate payments of such amounts to the SRO in line with the conditions outlined in the Act.</w:t>
      </w:r>
      <w:r w:rsidR="00E12E2F">
        <w:br w:type="page"/>
      </w:r>
    </w:p>
    <w:p w14:paraId="6EF1C58D" w14:textId="25B8B00A" w:rsidR="001E3173" w:rsidRDefault="001E3173" w:rsidP="00E12E2F">
      <w:pPr>
        <w:spacing w:after="140" w:line="260" w:lineRule="atLeast"/>
      </w:pPr>
      <w:r>
        <w:lastRenderedPageBreak/>
        <w:t>The monitoring system will provide venue operators with details regarding the status of hand pay tickets issued by gaming machines at their venue, and the TITO system will provide venue operators with details regarding the status of TITO tickets issued by gaming machines and/or a Credit Redemption Terminal. The venue operator is responsible for the assessment of the unclaimed ticket reports provided by the monitoring system and the TITO system and determining a complete and accurate declaration of unclaimed tickets to the SRO.</w:t>
      </w:r>
    </w:p>
    <w:p w14:paraId="1B2F829F" w14:textId="38A0976D" w:rsidR="001E3173" w:rsidRDefault="001E3173" w:rsidP="00E12E2F">
      <w:pPr>
        <w:spacing w:after="140" w:line="260" w:lineRule="atLeast"/>
      </w:pPr>
      <w:r>
        <w:t>Any patrons seeking payment for tickets that have been remitted as unclaimed winnings should be directed to the SRO for payment.</w:t>
      </w:r>
    </w:p>
    <w:p w14:paraId="5058088B" w14:textId="64EECFA3" w:rsidR="001E3173" w:rsidRDefault="001E3173" w:rsidP="00E12E2F">
      <w:pPr>
        <w:spacing w:after="140" w:line="260" w:lineRule="atLeast"/>
      </w:pPr>
      <w:r>
        <w:t>A venue operator must maintain records to substantiate the yearly reconciliation of unclaimed winnings and amount paid to the SRO. The details must include, but are not limited to:</w:t>
      </w:r>
    </w:p>
    <w:p w14:paraId="5C4C9104" w14:textId="42282812" w:rsidR="001E3173" w:rsidRDefault="001E3173" w:rsidP="002A54DF">
      <w:pPr>
        <w:pStyle w:val="Bullet1"/>
        <w:spacing w:after="140" w:line="260" w:lineRule="atLeast"/>
      </w:pPr>
      <w:r>
        <w:t>reports produced from the monitoring system and the TITO system showing expired tickets for the relevant period. This should act as the base for a venue operator to determine its obligations in relation to unclaimed monies</w:t>
      </w:r>
    </w:p>
    <w:p w14:paraId="00641C1A" w14:textId="1996113C" w:rsidR="001E3173" w:rsidRDefault="003C558D" w:rsidP="002A54DF">
      <w:pPr>
        <w:pStyle w:val="Bullet1"/>
        <w:spacing w:after="140" w:line="260" w:lineRule="atLeast"/>
      </w:pPr>
      <w:r>
        <w:t>w</w:t>
      </w:r>
      <w:r w:rsidR="001E3173">
        <w:t>here the venue has changed ownership during the abovementioned period, and subject to the contractual arrangements between the parties passing on responsibility for unclaimed tickets, details of unclaimed winnings and monies supplied by the previous venue operator</w:t>
      </w:r>
    </w:p>
    <w:p w14:paraId="1B96B62A" w14:textId="2D1FE458" w:rsidR="001E3173" w:rsidRDefault="001E3173" w:rsidP="002A54DF">
      <w:pPr>
        <w:pStyle w:val="Bullet1"/>
        <w:spacing w:after="140" w:line="260" w:lineRule="atLeast"/>
      </w:pPr>
      <w:r>
        <w:t>supporting documents to validate any tickets/hand pays that appear on the monitoring system or the TITO system that the venue deems as having been paid but unredeemed. Documents must include a copy of the ticket/hand pay voucher, payout details, proof that the ticket is a duplicate or invalid ticket, etc.</w:t>
      </w:r>
    </w:p>
    <w:p w14:paraId="7FD71CE2" w14:textId="3B87CAA0" w:rsidR="001E3173" w:rsidRDefault="001E3173" w:rsidP="002A54DF">
      <w:pPr>
        <w:pStyle w:val="Bullet1"/>
        <w:spacing w:after="140" w:line="260" w:lineRule="atLeast"/>
      </w:pPr>
      <w:r>
        <w:t>a register of unpresented cheques, accumulated credits or coins left in the machines that must be remitted as unclaimed</w:t>
      </w:r>
    </w:p>
    <w:p w14:paraId="7A7BF818" w14:textId="637540FA" w:rsidR="001E3173" w:rsidRDefault="001E3173" w:rsidP="00B133C9">
      <w:pPr>
        <w:pStyle w:val="Bullet1"/>
        <w:spacing w:after="0" w:line="260" w:lineRule="atLeast"/>
      </w:pPr>
      <w:r>
        <w:t>details of expenses claimed under section 3.6.13 (2)</w:t>
      </w:r>
    </w:p>
    <w:p w14:paraId="00E9A370" w14:textId="06CE3E0D" w:rsidR="001E3173" w:rsidRDefault="001E3173" w:rsidP="00B133C9">
      <w:pPr>
        <w:pStyle w:val="Bullet1"/>
        <w:spacing w:after="0" w:line="260" w:lineRule="atLeast"/>
      </w:pPr>
      <w:r>
        <w:t>reports produced from the card-based cashless system, showing cashless wallets/cards that have been inactive for the required period, detailing unclaimed money (see section below) and unclaimed winnings.</w:t>
      </w:r>
    </w:p>
    <w:p w14:paraId="27831DBA" w14:textId="5789D344" w:rsidR="001E3173" w:rsidRDefault="00E12E2F" w:rsidP="00B133C9">
      <w:pPr>
        <w:spacing w:after="120"/>
      </w:pPr>
      <w:r>
        <w:br w:type="column"/>
      </w:r>
      <w:r w:rsidR="001E3173">
        <w:t>In the Commission’s assessment of amounts remitted in relation to unclaimed prizes, an assessment will be made as to expenses incurred in searching for persons entitled to the winnings, if claimed by the venue operator. Section 3.6.13 (2) of the Act allows for venue operators to deduct out of unclaimed monies the expenses reasonably incurred in searching for the persons entitled to the winnings.</w:t>
      </w:r>
    </w:p>
    <w:p w14:paraId="74BAD14D" w14:textId="527A95CE" w:rsidR="001E3173" w:rsidRDefault="001E3173" w:rsidP="00B133C9">
      <w:pPr>
        <w:spacing w:after="120"/>
      </w:pPr>
      <w:r>
        <w:t>All reasonable expenses claimed by the venue operator in relation to searching for the persons entitled to unclaimed winnings must be justified and should not be applied based on the value of each unclaimed ticket. It is expected that reasonable expenses would include, but are not limited to, bank fees, stationery and postage incurred in searching for the persons entitled to the winnings. Expenses do not include those incurred in managing unclaimed tickets.</w:t>
      </w:r>
    </w:p>
    <w:p w14:paraId="1513BD89" w14:textId="5E6B14BC" w:rsidR="001E3173" w:rsidRDefault="001E3173" w:rsidP="003C558D">
      <w:pPr>
        <w:pStyle w:val="Heading3"/>
      </w:pPr>
      <w:r>
        <w:t>Unclaimed money</w:t>
      </w:r>
    </w:p>
    <w:p w14:paraId="315AE6B8" w14:textId="2C776998" w:rsidR="001E3173" w:rsidRDefault="001E3173" w:rsidP="00B133C9">
      <w:pPr>
        <w:spacing w:after="120" w:line="260" w:lineRule="atLeast"/>
      </w:pPr>
      <w:r>
        <w:t xml:space="preserve">Venue </w:t>
      </w:r>
      <w:r w:rsidR="003C558D">
        <w:t>o</w:t>
      </w:r>
      <w:r>
        <w:t xml:space="preserve">perators must also adhere to unclaimed money requirements under the </w:t>
      </w:r>
      <w:r w:rsidRPr="003C558D">
        <w:rPr>
          <w:i/>
          <w:iCs/>
        </w:rPr>
        <w:t>Unclaimed Money Act 2008</w:t>
      </w:r>
      <w:r>
        <w:t>, and note, in particular:</w:t>
      </w:r>
    </w:p>
    <w:p w14:paraId="0751F24B" w14:textId="39D5A018" w:rsidR="001E3173" w:rsidRDefault="001E3173" w:rsidP="00B133C9">
      <w:pPr>
        <w:pStyle w:val="Bullet1"/>
        <w:spacing w:after="120" w:line="260" w:lineRule="atLeast"/>
      </w:pPr>
      <w:r>
        <w:t>the definition of unclaimed money, and the differing definitions of unclaimed monies and winnings</w:t>
      </w:r>
    </w:p>
    <w:p w14:paraId="6DC8EBBA" w14:textId="0205F6B1" w:rsidR="001E3173" w:rsidRDefault="001E3173" w:rsidP="00B133C9">
      <w:pPr>
        <w:pStyle w:val="Bullet1"/>
        <w:spacing w:after="120" w:line="260" w:lineRule="atLeast"/>
      </w:pPr>
      <w:r>
        <w:t>the responsibility to keep a business register</w:t>
      </w:r>
    </w:p>
    <w:p w14:paraId="6779C262" w14:textId="0813FE0D" w:rsidR="001E3173" w:rsidRDefault="001E3173" w:rsidP="00B133C9">
      <w:pPr>
        <w:pStyle w:val="Bullet1"/>
        <w:spacing w:after="120" w:line="260" w:lineRule="atLeast"/>
      </w:pPr>
      <w:r>
        <w:t>the responsibility to pay unclaimed money to the Registrar.</w:t>
      </w:r>
    </w:p>
    <w:p w14:paraId="0E72431D" w14:textId="41E2129B" w:rsidR="002A54DF" w:rsidRDefault="001E3173" w:rsidP="00B133C9">
      <w:pPr>
        <w:spacing w:after="120" w:line="260" w:lineRule="atLeast"/>
      </w:pPr>
      <w:r>
        <w:t xml:space="preserve">An inactive and unpaid balance in a cashless wallet may comprise both </w:t>
      </w:r>
      <w:r w:rsidR="003C558D">
        <w:t>‘</w:t>
      </w:r>
      <w:r>
        <w:t>unclaimed money</w:t>
      </w:r>
      <w:r w:rsidR="003C558D">
        <w:t>’</w:t>
      </w:r>
      <w:r>
        <w:t xml:space="preserve"> under the Unclaimed Money </w:t>
      </w:r>
      <w:r w:rsidR="000F1F50">
        <w:t>Act as</w:t>
      </w:r>
      <w:r>
        <w:t xml:space="preserve"> well as </w:t>
      </w:r>
      <w:r w:rsidR="003C558D">
        <w:t>‘</w:t>
      </w:r>
      <w:r>
        <w:t>unclaimed winnings</w:t>
      </w:r>
      <w:r w:rsidR="003C558D">
        <w:t>’</w:t>
      </w:r>
      <w:r>
        <w:t xml:space="preserve"> under the Gambling Regulation Act. Cashless </w:t>
      </w:r>
      <w:r w:rsidR="003C558D">
        <w:t>g</w:t>
      </w:r>
      <w:r>
        <w:t>aming systems are required to distinguish between these two amounts to assist venue operators in meeting their obligations under both these Acts.</w:t>
      </w:r>
    </w:p>
    <w:p w14:paraId="553AC2D0" w14:textId="3B41543E" w:rsidR="001E3173" w:rsidRDefault="002A54DF" w:rsidP="001F6363">
      <w:pPr>
        <w:pStyle w:val="Heading2"/>
        <w:numPr>
          <w:ilvl w:val="0"/>
          <w:numId w:val="0"/>
        </w:numPr>
        <w:ind w:left="576" w:hanging="576"/>
      </w:pPr>
      <w:r>
        <w:br w:type="column"/>
      </w:r>
      <w:bookmarkStart w:id="22" w:name="_Toc114465559"/>
      <w:r w:rsidR="001F6363">
        <w:lastRenderedPageBreak/>
        <w:t xml:space="preserve">2.3 </w:t>
      </w:r>
      <w:r w:rsidR="001E3173">
        <w:t>G</w:t>
      </w:r>
      <w:r w:rsidR="003C558D">
        <w:t>aming reconciliations</w:t>
      </w:r>
      <w:bookmarkEnd w:id="22"/>
    </w:p>
    <w:p w14:paraId="10A11CA6" w14:textId="3D7AA5FA" w:rsidR="001E3173" w:rsidRDefault="001E3173" w:rsidP="003C558D">
      <w:pPr>
        <w:pStyle w:val="Heading3"/>
      </w:pPr>
      <w:r>
        <w:t xml:space="preserve">Gaming </w:t>
      </w:r>
      <w:r w:rsidR="003C558D">
        <w:t>d</w:t>
      </w:r>
      <w:r>
        <w:t xml:space="preserve">ata </w:t>
      </w:r>
      <w:r w:rsidR="003C558D">
        <w:t>r</w:t>
      </w:r>
      <w:r>
        <w:t xml:space="preserve">econciliation </w:t>
      </w:r>
      <w:r w:rsidR="003C558D">
        <w:t>p</w:t>
      </w:r>
      <w:r>
        <w:t>eriods</w:t>
      </w:r>
    </w:p>
    <w:p w14:paraId="7118BE74" w14:textId="034A90C3" w:rsidR="001E3173" w:rsidRDefault="001E3173" w:rsidP="002A54DF">
      <w:pPr>
        <w:spacing w:line="260" w:lineRule="atLeast"/>
      </w:pPr>
      <w:r>
        <w:t>A venue operator must, at a minimum, perform the following reconciliations of data reported by gaming machines, to the data polled and reported by the monitoring system and a cashless system:</w:t>
      </w:r>
    </w:p>
    <w:p w14:paraId="484941D3" w14:textId="2AD278F1" w:rsidR="001E3173" w:rsidRPr="003C558D" w:rsidRDefault="001E3173" w:rsidP="002E5F73">
      <w:pPr>
        <w:pStyle w:val="Heading4"/>
      </w:pPr>
      <w:r w:rsidRPr="003C558D">
        <w:t>Daily data reconciliations</w:t>
      </w:r>
    </w:p>
    <w:p w14:paraId="3D6F186A" w14:textId="109E0F34" w:rsidR="001E3173" w:rsidRDefault="003C558D" w:rsidP="002A54DF">
      <w:pPr>
        <w:pStyle w:val="Bullet1"/>
        <w:spacing w:line="260" w:lineRule="atLeast"/>
      </w:pPr>
      <w:r>
        <w:t>S</w:t>
      </w:r>
      <w:r w:rsidR="001E3173">
        <w:t>oft meter gaming data, independently recorded by the venue operator from each gaming machine, must be reconciled to gaming data polled and reported by the monitoring system</w:t>
      </w:r>
      <w:r>
        <w:t>.</w:t>
      </w:r>
    </w:p>
    <w:p w14:paraId="6A086F66" w14:textId="298185F6" w:rsidR="001E3173" w:rsidRDefault="003C558D" w:rsidP="002A54DF">
      <w:pPr>
        <w:pStyle w:val="Bullet1"/>
        <w:spacing w:line="260" w:lineRule="atLeast"/>
      </w:pPr>
      <w:r>
        <w:t>V</w:t>
      </w:r>
      <w:r w:rsidR="001E3173">
        <w:t>erification that all tickets redeemed and paid have been effectively cleared on the monitoring system or the TITO system</w:t>
      </w:r>
      <w:r>
        <w:t>.</w:t>
      </w:r>
    </w:p>
    <w:p w14:paraId="60A6948A" w14:textId="2080BDBD" w:rsidR="001E3173" w:rsidRDefault="003C558D" w:rsidP="002A54DF">
      <w:pPr>
        <w:pStyle w:val="Bullet1"/>
        <w:spacing w:line="260" w:lineRule="atLeast"/>
      </w:pPr>
      <w:r>
        <w:t>W</w:t>
      </w:r>
      <w:r w:rsidR="001E3173">
        <w:t>here possible, review and clear all machine exceptions raised by the monitoring system</w:t>
      </w:r>
      <w:r>
        <w:t>.</w:t>
      </w:r>
    </w:p>
    <w:p w14:paraId="3AEB5BF5" w14:textId="710DA892" w:rsidR="001E3173" w:rsidRDefault="003C558D" w:rsidP="002A54DF">
      <w:pPr>
        <w:pStyle w:val="Bullet1"/>
        <w:spacing w:line="260" w:lineRule="atLeast"/>
      </w:pPr>
      <w:r>
        <w:t>M</w:t>
      </w:r>
      <w:r w:rsidR="001E3173">
        <w:t>onitor the movement in all linked jackpot pools operating within the venue, including assessing the accuracy of jackpot contributions reported and reconciling reported jackpot wins to actual wins paid.</w:t>
      </w:r>
    </w:p>
    <w:p w14:paraId="3FC78751" w14:textId="1589001C" w:rsidR="001E3173" w:rsidRDefault="001E3173" w:rsidP="002E5F73">
      <w:pPr>
        <w:pStyle w:val="Heading4"/>
      </w:pPr>
      <w:r>
        <w:t>Weekly data reconciliations</w:t>
      </w:r>
    </w:p>
    <w:p w14:paraId="649EFEAC" w14:textId="2E29A214" w:rsidR="001E3173" w:rsidRDefault="003C558D" w:rsidP="002A54DF">
      <w:pPr>
        <w:pStyle w:val="Bullet1"/>
        <w:spacing w:line="260" w:lineRule="atLeast"/>
      </w:pPr>
      <w:r>
        <w:t>I</w:t>
      </w:r>
      <w:r w:rsidR="001E3173">
        <w:t>mplement required procedures to ensure that gaming tax obligations are managed and a minimum amount of gaming revenue is being maintained in the nominated gaming account to meet the venue’s tax liability</w:t>
      </w:r>
      <w:r>
        <w:t>.</w:t>
      </w:r>
    </w:p>
    <w:p w14:paraId="1B534C43" w14:textId="1ACC1B2F" w:rsidR="001E3173" w:rsidRDefault="003C558D" w:rsidP="002A54DF">
      <w:pPr>
        <w:pStyle w:val="Bullet1"/>
        <w:spacing w:line="260" w:lineRule="atLeast"/>
      </w:pPr>
      <w:r>
        <w:t>W</w:t>
      </w:r>
      <w:r w:rsidR="001E3173">
        <w:t>here possible, review and clear all machine exceptions raised by the monitoring system.</w:t>
      </w:r>
    </w:p>
    <w:p w14:paraId="7C91BAFB" w14:textId="6B3C9774" w:rsidR="001E3173" w:rsidRDefault="001E3173" w:rsidP="002E5F73">
      <w:pPr>
        <w:pStyle w:val="Heading4"/>
      </w:pPr>
      <w:r>
        <w:t>Monthly data reconciliations</w:t>
      </w:r>
    </w:p>
    <w:p w14:paraId="7DBF17EE" w14:textId="18C683F5" w:rsidR="001E3173" w:rsidRDefault="003C558D" w:rsidP="002A54DF">
      <w:pPr>
        <w:pStyle w:val="Bullet1"/>
        <w:spacing w:line="260" w:lineRule="atLeast"/>
      </w:pPr>
      <w:r>
        <w:t>C</w:t>
      </w:r>
      <w:r w:rsidR="001E3173">
        <w:t>omplete a tax settlement reconciliation to verify the completeness and accuracy of amounts due and payable, as determined by the monitoring licensee</w:t>
      </w:r>
      <w:r>
        <w:t>.</w:t>
      </w:r>
    </w:p>
    <w:p w14:paraId="27060344" w14:textId="1D45D626" w:rsidR="001E3173" w:rsidRDefault="003C558D" w:rsidP="002A54DF">
      <w:pPr>
        <w:pStyle w:val="Bullet1"/>
        <w:spacing w:line="260" w:lineRule="atLeast"/>
      </w:pPr>
      <w:r>
        <w:t>M</w:t>
      </w:r>
      <w:r w:rsidR="001E3173">
        <w:t>onitor adherence to the minimum return to players requirement for gaming machines</w:t>
      </w:r>
      <w:r>
        <w:t>.</w:t>
      </w:r>
    </w:p>
    <w:p w14:paraId="2EC924B9" w14:textId="1011272E" w:rsidR="001E3173" w:rsidRDefault="003C558D" w:rsidP="002A54DF">
      <w:pPr>
        <w:pStyle w:val="Bullet1"/>
        <w:spacing w:line="260" w:lineRule="atLeast"/>
      </w:pPr>
      <w:r>
        <w:t>R</w:t>
      </w:r>
      <w:r w:rsidR="001E3173">
        <w:t>eview and clear all machine exceptions raised by the monitoring system.</w:t>
      </w:r>
    </w:p>
    <w:p w14:paraId="11F7B8E3" w14:textId="1355B441" w:rsidR="001E3173" w:rsidRDefault="001E3173" w:rsidP="002A54DF">
      <w:pPr>
        <w:spacing w:line="260" w:lineRule="atLeast"/>
      </w:pPr>
      <w:r>
        <w:t>Each of the above reconciliation requirements have been outlined in detail in other sections of this document.</w:t>
      </w:r>
    </w:p>
    <w:p w14:paraId="2F23F3D0" w14:textId="4FE33F29" w:rsidR="001E3173" w:rsidRDefault="001E3173" w:rsidP="003C558D">
      <w:pPr>
        <w:pStyle w:val="Heading3"/>
      </w:pPr>
      <w:r>
        <w:t xml:space="preserve">Metered v </w:t>
      </w:r>
      <w:r w:rsidR="003C558D">
        <w:t>p</w:t>
      </w:r>
      <w:r>
        <w:t xml:space="preserve">olled </w:t>
      </w:r>
      <w:r w:rsidR="003C558D">
        <w:t>d</w:t>
      </w:r>
      <w:r>
        <w:t>ata</w:t>
      </w:r>
    </w:p>
    <w:p w14:paraId="5B28B7BB" w14:textId="0CECCFC1" w:rsidR="001E3173" w:rsidRDefault="001E3173" w:rsidP="001E3173">
      <w:r>
        <w:t>A comparison of the independently recorded gross soft meter data and polled data provided by the monitoring licensee must be performed daily by the venue operator.</w:t>
      </w:r>
    </w:p>
    <w:p w14:paraId="35DCA7D8" w14:textId="2C29B4D0" w:rsidR="001E3173" w:rsidRDefault="001E3173" w:rsidP="001E3173">
      <w:r>
        <w:t>Metered data represents the financial gaming data calculated via the movements in the gross soft meters recorded independently by the venue from each of its gaming machines.</w:t>
      </w:r>
    </w:p>
    <w:p w14:paraId="78BF7DA1" w14:textId="30082006" w:rsidR="001E3173" w:rsidRDefault="001E3173" w:rsidP="001E3173">
      <w:r>
        <w:t>Polled data represents the financial gaming data reported by the monitoring system. The monitoring system will provide the venue operator with access to various polled data reports, including the Daily Gross Meters and Daily Venue Accounting Reports, which will provide the required data to perform this reconciliation.</w:t>
      </w:r>
    </w:p>
    <w:p w14:paraId="6BBE14C5" w14:textId="40E5194B" w:rsidR="001E3173" w:rsidRDefault="001E3173" w:rsidP="001E3173">
      <w:r>
        <w:t>At a minimum, the following metered data must be compared to the polled data reported by the monitoring licensee:</w:t>
      </w:r>
    </w:p>
    <w:p w14:paraId="762FAEB7" w14:textId="21C03F55" w:rsidR="001E3173" w:rsidRDefault="001E3173" w:rsidP="003C558D">
      <w:pPr>
        <w:pStyle w:val="Bullet1"/>
      </w:pPr>
      <w:r>
        <w:t>turnover/credits played</w:t>
      </w:r>
    </w:p>
    <w:p w14:paraId="1E4EAB14" w14:textId="2CE7B3A4" w:rsidR="001E3173" w:rsidRDefault="001E3173" w:rsidP="003C558D">
      <w:pPr>
        <w:pStyle w:val="Bullet1"/>
      </w:pPr>
      <w:r>
        <w:t>credits won</w:t>
      </w:r>
    </w:p>
    <w:p w14:paraId="4B05D6D6" w14:textId="683D9607" w:rsidR="001E3173" w:rsidRDefault="001E3173" w:rsidP="003C558D">
      <w:pPr>
        <w:pStyle w:val="Bullet1"/>
      </w:pPr>
      <w:r>
        <w:t>cash in (total or individual meters that make up total cash in)</w:t>
      </w:r>
    </w:p>
    <w:p w14:paraId="06B5A19F" w14:textId="0110F940" w:rsidR="001E3173" w:rsidRDefault="001E3173" w:rsidP="003C558D">
      <w:pPr>
        <w:pStyle w:val="Bullet1"/>
      </w:pPr>
      <w:r>
        <w:t>cash out (total or individual meters that make up total cash out).</w:t>
      </w:r>
    </w:p>
    <w:p w14:paraId="60F131E8" w14:textId="7379CFEF" w:rsidR="001E3173" w:rsidRDefault="001E3173" w:rsidP="001E3173">
      <w:r>
        <w:t>A venue operator must investigate any material discrepancy reported in the above reconciliation. Any material and unexplained discrepancies should be discussed with the monitoring licensee.</w:t>
      </w:r>
    </w:p>
    <w:p w14:paraId="4B07F9C4" w14:textId="6925F55B" w:rsidR="001E3173" w:rsidRDefault="005A7C53" w:rsidP="002E5F73">
      <w:pPr>
        <w:pStyle w:val="BreakouttextBlue"/>
      </w:pPr>
      <w:r w:rsidRPr="002A54DF">
        <w:rPr>
          <w:b/>
          <w:bCs/>
        </w:rPr>
        <w:t>A</w:t>
      </w:r>
      <w:r>
        <w:rPr>
          <w:b/>
          <w:bCs/>
        </w:rPr>
        <w:t>ppendix</w:t>
      </w:r>
      <w:r w:rsidRPr="002A54DF">
        <w:rPr>
          <w:b/>
          <w:bCs/>
        </w:rPr>
        <w:t xml:space="preserve"> </w:t>
      </w:r>
      <w:r w:rsidR="001E3173" w:rsidRPr="002A54DF">
        <w:rPr>
          <w:b/>
          <w:bCs/>
        </w:rPr>
        <w:t>1</w:t>
      </w:r>
      <w:r w:rsidR="001E3173">
        <w:t xml:space="preserve"> provides </w:t>
      </w:r>
      <w:r w:rsidR="001E3173">
        <w:t>an example of a suggested schedule to be u</w:t>
      </w:r>
      <w:r w:rsidR="003C558D">
        <w:t>s</w:t>
      </w:r>
      <w:r w:rsidR="001E3173">
        <w:t xml:space="preserve">ed by the venue operator </w:t>
      </w:r>
      <w:r w:rsidR="000F1F50">
        <w:t>to</w:t>
      </w:r>
      <w:r w:rsidR="001E3173">
        <w:t xml:space="preserve"> ensure adherence to the soft meter recording requirement.</w:t>
      </w:r>
    </w:p>
    <w:p w14:paraId="545352FA" w14:textId="77777777" w:rsidR="002A54DF" w:rsidRDefault="002A54DF">
      <w:pPr>
        <w:spacing w:after="0" w:line="240" w:lineRule="auto"/>
        <w:rPr>
          <w:rFonts w:eastAsiaTheme="majorEastAsia" w:cstheme="majorBidi"/>
          <w:b/>
          <w:color w:val="0090B9"/>
          <w:sz w:val="22"/>
        </w:rPr>
      </w:pPr>
      <w:r>
        <w:br w:type="page"/>
      </w:r>
    </w:p>
    <w:p w14:paraId="537C5070" w14:textId="40A3507B" w:rsidR="001E3173" w:rsidRDefault="001E3173" w:rsidP="003C558D">
      <w:pPr>
        <w:pStyle w:val="Heading3"/>
      </w:pPr>
      <w:r>
        <w:lastRenderedPageBreak/>
        <w:t xml:space="preserve">Minimum </w:t>
      </w:r>
      <w:r w:rsidR="003C558D">
        <w:t>b</w:t>
      </w:r>
      <w:r>
        <w:t xml:space="preserve">anking </w:t>
      </w:r>
      <w:r w:rsidR="003C558D">
        <w:t>r</w:t>
      </w:r>
      <w:r>
        <w:t>equirements</w:t>
      </w:r>
    </w:p>
    <w:p w14:paraId="62B207A3" w14:textId="6898D909" w:rsidR="001E3173" w:rsidRDefault="001E3173" w:rsidP="002A54DF">
      <w:pPr>
        <w:spacing w:line="260" w:lineRule="atLeast"/>
      </w:pPr>
      <w:r>
        <w:t>A venue operator must have processes and procedures in place to monitor the adequacy of amounts in the nominated gaming account to ensure a minimum level of banking is maintained to cover the expected tax liability at the conclusion of the month.</w:t>
      </w:r>
    </w:p>
    <w:p w14:paraId="2B2F3A0C" w14:textId="158D3FD6" w:rsidR="001E3173" w:rsidRDefault="001E3173" w:rsidP="002A54DF">
      <w:pPr>
        <w:spacing w:line="260" w:lineRule="atLeast"/>
      </w:pPr>
      <w:r>
        <w:t xml:space="preserve">Recommended procedures to </w:t>
      </w:r>
      <w:r w:rsidR="003C558D">
        <w:t>help</w:t>
      </w:r>
      <w:r>
        <w:t xml:space="preserve"> a gaming venue adher</w:t>
      </w:r>
      <w:r w:rsidR="003C558D">
        <w:t>e</w:t>
      </w:r>
      <w:r>
        <w:t xml:space="preserve"> to this requirement include applying the following at regular intervals throughout the month:</w:t>
      </w:r>
    </w:p>
    <w:p w14:paraId="4DD29A3A" w14:textId="518201E7" w:rsidR="001E3173" w:rsidRDefault="002E5F73" w:rsidP="002A54DF">
      <w:pPr>
        <w:pStyle w:val="Bullet1"/>
        <w:spacing w:line="260" w:lineRule="atLeast"/>
      </w:pPr>
      <w:r>
        <w:t>c</w:t>
      </w:r>
      <w:r w:rsidR="001E3173">
        <w:t xml:space="preserve">alculating and depositing the projected gaming tax payable by applying a pro-rated tax calculation </w:t>
      </w:r>
      <w:r w:rsidR="001E3173" w:rsidRPr="002A54DF">
        <w:rPr>
          <w:b/>
          <w:bCs/>
        </w:rPr>
        <w:t>or</w:t>
      </w:r>
    </w:p>
    <w:p w14:paraId="214C5FA7" w14:textId="232690F1" w:rsidR="001E3173" w:rsidRDefault="001E3173" w:rsidP="002A54DF">
      <w:pPr>
        <w:pStyle w:val="Bullet1"/>
        <w:spacing w:line="260" w:lineRule="atLeast"/>
      </w:pPr>
      <w:r>
        <w:t xml:space="preserve">allocating a fixed percentage of gaming revenue to the nominated gaming account, which is expected to cover the projected gaming tax obligation, </w:t>
      </w:r>
      <w:r w:rsidR="008D65E9">
        <w:t>e.g.,</w:t>
      </w:r>
      <w:r>
        <w:t xml:space="preserve"> fixed 60% of revenue.</w:t>
      </w:r>
    </w:p>
    <w:p w14:paraId="7E08B1BC" w14:textId="15E93873" w:rsidR="001E3173" w:rsidRDefault="001E3173" w:rsidP="002A54DF">
      <w:pPr>
        <w:spacing w:line="260" w:lineRule="atLeast"/>
      </w:pPr>
      <w:r>
        <w:t>Amounts determined as minimum banking deposits must be maintained until after the payment of gaming taxes at the conclusion of the month.</w:t>
      </w:r>
    </w:p>
    <w:p w14:paraId="01233799" w14:textId="2F2757DA" w:rsidR="001E3173" w:rsidRDefault="001E3173" w:rsidP="002A54DF">
      <w:pPr>
        <w:spacing w:line="260" w:lineRule="atLeast"/>
      </w:pPr>
      <w:r>
        <w:t>Procedures implemented by gaming venues must ensure that sufficient funds are maintained in the nominated account to cover the sweep of gaming taxes. If a venue is required to deposit additional funds at the conclusion of the month to cover their tax obligation, it is assumed that the procedures utilised to maintain minimum banking levels are not sufficient. In this instance a venue must reassess its procedures to ensure adherence to this requirement.</w:t>
      </w:r>
    </w:p>
    <w:p w14:paraId="2D1C6927" w14:textId="5411C624" w:rsidR="001E3173" w:rsidRDefault="001E3173" w:rsidP="002A54DF">
      <w:pPr>
        <w:spacing w:line="260" w:lineRule="atLeast"/>
      </w:pPr>
      <w:r>
        <w:t>As part of the periodic audits conducted, the Commission will assess the adequacy of processes and procedures undertaken by the gaming venue to protect the tax liability at the conclusion of the month. As a result, the venue operator must maintain documentation clearly outlining the processes and procedures undertaken and the reconciliations performed in adhering to this requirement.</w:t>
      </w:r>
    </w:p>
    <w:p w14:paraId="2D62B521" w14:textId="3ECB88DB" w:rsidR="000F4297" w:rsidRDefault="002A54DF" w:rsidP="000F4297">
      <w:pPr>
        <w:pStyle w:val="BreakouttextBlue"/>
        <w:spacing w:before="120" w:after="120"/>
      </w:pPr>
      <w:r w:rsidRPr="002A54DF">
        <w:rPr>
          <w:b/>
          <w:bCs/>
        </w:rPr>
        <w:t>A</w:t>
      </w:r>
      <w:r w:rsidR="00FB1B1C">
        <w:rPr>
          <w:b/>
          <w:bCs/>
        </w:rPr>
        <w:t>ppendix</w:t>
      </w:r>
      <w:r w:rsidR="001E3173" w:rsidRPr="002A54DF">
        <w:rPr>
          <w:b/>
          <w:bCs/>
        </w:rPr>
        <w:t xml:space="preserve"> 2</w:t>
      </w:r>
      <w:r w:rsidR="001E3173">
        <w:t xml:space="preserve"> provides an example of a suggested schedule to be u</w:t>
      </w:r>
      <w:r w:rsidR="002E5F73">
        <w:t>s</w:t>
      </w:r>
      <w:r w:rsidR="001E3173">
        <w:t xml:space="preserve">ed by the venue operator </w:t>
      </w:r>
      <w:r w:rsidR="000F1F50">
        <w:t>to</w:t>
      </w:r>
      <w:r w:rsidR="001E3173">
        <w:t xml:space="preserve"> ensure adherence to the minimum banking requirement.</w:t>
      </w:r>
    </w:p>
    <w:p w14:paraId="666713B0" w14:textId="185CA62C" w:rsidR="001E3173" w:rsidRDefault="001E3173" w:rsidP="002E5F73">
      <w:pPr>
        <w:pStyle w:val="Heading3"/>
      </w:pPr>
      <w:r>
        <w:t xml:space="preserve">Tax </w:t>
      </w:r>
      <w:r w:rsidR="002E5F73">
        <w:t>s</w:t>
      </w:r>
      <w:r>
        <w:t xml:space="preserve">ettlement </w:t>
      </w:r>
      <w:r w:rsidR="002E5F73">
        <w:t>r</w:t>
      </w:r>
      <w:r>
        <w:t>econciliations</w:t>
      </w:r>
    </w:p>
    <w:p w14:paraId="7C53103B" w14:textId="36DFD8FA" w:rsidR="001E3173" w:rsidRDefault="001E3173" w:rsidP="002A54DF">
      <w:pPr>
        <w:spacing w:line="260" w:lineRule="atLeast"/>
      </w:pPr>
      <w:r>
        <w:t>The monitoring licensee is responsible for the calculation of gaming taxes payable by each gaming venue. It will provide reports to the Commission and gaming venues that will detail the calculation and the amount of gaming taxes that will be swept from the venue operator’s nominated gaming bank account at the conclusion of the taxable month.</w:t>
      </w:r>
    </w:p>
    <w:p w14:paraId="1022A8AC" w14:textId="355FA500" w:rsidR="001E3173" w:rsidRDefault="001E3173" w:rsidP="002A54DF">
      <w:pPr>
        <w:spacing w:line="260" w:lineRule="atLeast"/>
      </w:pPr>
      <w:r>
        <w:t>Upon receipt of the relevant gaming taxation report from the monitoring system a venue operator must perform an independent tax reconciliation to ensure the accuracy of the information provided on the report.</w:t>
      </w:r>
    </w:p>
    <w:p w14:paraId="47EC65B4" w14:textId="3149C1A0" w:rsidR="001E3173" w:rsidRDefault="001E3173" w:rsidP="002A54DF">
      <w:pPr>
        <w:spacing w:line="260" w:lineRule="atLeast"/>
      </w:pPr>
      <w:r>
        <w:t>A venue operator should immediately address any issues with the monitoring licensee to ensure, where possible, any amendments to the tax calculation can be processed before the sweep is initiated.</w:t>
      </w:r>
    </w:p>
    <w:p w14:paraId="3A764F57" w14:textId="7595DBAE" w:rsidR="001E3173" w:rsidRDefault="001E3173" w:rsidP="002A54DF">
      <w:pPr>
        <w:spacing w:line="260" w:lineRule="atLeast"/>
      </w:pPr>
      <w:r>
        <w:t>Tax adjustments will be processed and applied to a subsequent tax period, if it is determined that a tax calculation performed by the monitoring system is incorrect and necessary adjustments could not be made in the same period.</w:t>
      </w:r>
    </w:p>
    <w:p w14:paraId="7C34BC29" w14:textId="288ECCD7" w:rsidR="001E3173" w:rsidRDefault="001E3173" w:rsidP="002A54DF">
      <w:pPr>
        <w:spacing w:line="260" w:lineRule="atLeast"/>
      </w:pPr>
      <w:r>
        <w:t>The accuracy and completeness of the following components of the tax report should be verified by the venue operator as soon as possible:</w:t>
      </w:r>
    </w:p>
    <w:p w14:paraId="0E2360D7" w14:textId="20A0A103" w:rsidR="001E3173" w:rsidRDefault="001E3173" w:rsidP="002A54DF">
      <w:pPr>
        <w:pStyle w:val="Bullet1"/>
        <w:spacing w:line="260" w:lineRule="atLeast"/>
      </w:pPr>
      <w:r>
        <w:t>the average number of entitlements applied</w:t>
      </w:r>
    </w:p>
    <w:p w14:paraId="7E46D9F7" w14:textId="382F5056" w:rsidR="001E3173" w:rsidRDefault="001E3173" w:rsidP="002A54DF">
      <w:pPr>
        <w:pStyle w:val="Bullet1"/>
        <w:spacing w:line="260" w:lineRule="atLeast"/>
      </w:pPr>
      <w:r>
        <w:t>the net revenue or net cash balance</w:t>
      </w:r>
    </w:p>
    <w:p w14:paraId="7F24CBF7" w14:textId="01CFC33E" w:rsidR="001E3173" w:rsidRDefault="001E3173" w:rsidP="002A54DF">
      <w:pPr>
        <w:pStyle w:val="Bullet1"/>
        <w:spacing w:line="260" w:lineRule="atLeast"/>
      </w:pPr>
      <w:r>
        <w:t>the applied actual tax rate</w:t>
      </w:r>
    </w:p>
    <w:p w14:paraId="41B1D105" w14:textId="02A1497F" w:rsidR="001E3173" w:rsidRDefault="001E3173" w:rsidP="002A54DF">
      <w:pPr>
        <w:pStyle w:val="Bullet1"/>
        <w:spacing w:line="260" w:lineRule="atLeast"/>
      </w:pPr>
      <w:r>
        <w:t>any financial adjustments processed, and</w:t>
      </w:r>
    </w:p>
    <w:p w14:paraId="3E5AB0D8" w14:textId="45BB1B4C" w:rsidR="001E3173" w:rsidRDefault="001E3173" w:rsidP="002A54DF">
      <w:pPr>
        <w:pStyle w:val="Bullet1"/>
        <w:spacing w:line="260" w:lineRule="atLeast"/>
      </w:pPr>
      <w:r>
        <w:t>the final tax to be remitted to the Commission.</w:t>
      </w:r>
    </w:p>
    <w:p w14:paraId="66AD1664" w14:textId="1BF99F6D" w:rsidR="001E3173" w:rsidRDefault="001E3173" w:rsidP="002A54DF">
      <w:pPr>
        <w:spacing w:line="260" w:lineRule="atLeast"/>
      </w:pPr>
      <w:r>
        <w:t>A venue operator must maintain appropriate documentation clearly outlining the analysis performed to adhere to this requirement, which will be subject to review by the Commission.</w:t>
      </w:r>
    </w:p>
    <w:p w14:paraId="6A5FA187" w14:textId="6CC78DC3" w:rsidR="001E3173" w:rsidRDefault="002A54DF" w:rsidP="002A54DF">
      <w:pPr>
        <w:pStyle w:val="BreakouttextBlue"/>
        <w:spacing w:before="120" w:after="120"/>
      </w:pPr>
      <w:r w:rsidRPr="002A54DF">
        <w:rPr>
          <w:b/>
          <w:bCs/>
        </w:rPr>
        <w:t>A</w:t>
      </w:r>
      <w:r w:rsidR="00FB1B1C">
        <w:rPr>
          <w:b/>
          <w:bCs/>
        </w:rPr>
        <w:t>ppendix</w:t>
      </w:r>
      <w:r w:rsidR="001E3173" w:rsidRPr="002A54DF">
        <w:rPr>
          <w:b/>
          <w:bCs/>
        </w:rPr>
        <w:t xml:space="preserve"> 3</w:t>
      </w:r>
      <w:r w:rsidR="001E3173">
        <w:t xml:space="preserve"> provides an example of a suggested schedule to be u</w:t>
      </w:r>
      <w:r w:rsidR="002E5F73">
        <w:t>s</w:t>
      </w:r>
      <w:r w:rsidR="001E3173">
        <w:t xml:space="preserve">ed by the venue operator </w:t>
      </w:r>
      <w:r w:rsidR="000F1F50">
        <w:t>to</w:t>
      </w:r>
      <w:r w:rsidR="001E3173">
        <w:t xml:space="preserve"> ensure adherence to the tax reconciliation requirement.</w:t>
      </w:r>
    </w:p>
    <w:p w14:paraId="20AF73A6" w14:textId="63F85EA0" w:rsidR="001E3173" w:rsidRDefault="001E3173" w:rsidP="002E5F73">
      <w:pPr>
        <w:pStyle w:val="Heading3"/>
      </w:pPr>
      <w:r>
        <w:lastRenderedPageBreak/>
        <w:t xml:space="preserve">Accounting </w:t>
      </w:r>
      <w:r w:rsidR="002E5F73">
        <w:t>d</w:t>
      </w:r>
      <w:r>
        <w:t xml:space="preserve">iscrepancy </w:t>
      </w:r>
      <w:r w:rsidR="002E5F73">
        <w:t>i</w:t>
      </w:r>
      <w:r>
        <w:t>nvestigation</w:t>
      </w:r>
    </w:p>
    <w:p w14:paraId="0F0E457F" w14:textId="4A5313F7" w:rsidR="001E3173" w:rsidRDefault="001E3173" w:rsidP="001E3173">
      <w:r>
        <w:t>Any discrepancies identified via the above reconciliation processes must be investigated immediately by the venue operator.</w:t>
      </w:r>
    </w:p>
    <w:p w14:paraId="44BD986F" w14:textId="4E78D224" w:rsidR="001E3173" w:rsidRDefault="001E3173" w:rsidP="001E3173">
      <w:r>
        <w:t>Should the venue operator be unable to determine the cause of a discrepancy, the matter should be addressed with the monitoring licensee</w:t>
      </w:r>
      <w:r w:rsidR="002E5F73">
        <w:t>.</w:t>
      </w:r>
    </w:p>
    <w:p w14:paraId="2EB8A745" w14:textId="5555AB1F" w:rsidR="001E3173" w:rsidRDefault="001F6363" w:rsidP="008B0DCD">
      <w:pPr>
        <w:pStyle w:val="Heading2"/>
        <w:numPr>
          <w:ilvl w:val="0"/>
          <w:numId w:val="0"/>
        </w:numPr>
      </w:pPr>
      <w:bookmarkStart w:id="23" w:name="_Toc114465560"/>
      <w:r>
        <w:t xml:space="preserve">2.4 </w:t>
      </w:r>
      <w:r w:rsidR="001E3173">
        <w:t>C</w:t>
      </w:r>
      <w:r w:rsidR="002E5F73">
        <w:t>ash/ticket handling and collection</w:t>
      </w:r>
      <w:bookmarkEnd w:id="23"/>
    </w:p>
    <w:p w14:paraId="7AB5367B" w14:textId="1CDB675E" w:rsidR="001E3173" w:rsidRDefault="001E3173" w:rsidP="001E3173">
      <w:r>
        <w:t>A venue operator must maintain a separate gaming float of all monies used for its gaming transactions. The gaming float must be reconciled on a regular basis and provide for a sufficient level of control and verification of all movements of cash to and from this float.</w:t>
      </w:r>
    </w:p>
    <w:p w14:paraId="0BD6A96C" w14:textId="717BA9B7" w:rsidR="001E3173" w:rsidRDefault="001E3173" w:rsidP="001E3173">
      <w:r>
        <w:t>A venue operator should enforce the following cash handling procedures:</w:t>
      </w:r>
    </w:p>
    <w:p w14:paraId="452E428A" w14:textId="69441876" w:rsidR="001E3173" w:rsidRDefault="001E3173" w:rsidP="002E5F73">
      <w:pPr>
        <w:pStyle w:val="Bullet1"/>
      </w:pPr>
      <w:r>
        <w:t>manually record movement of cash to and from the strong-room and gaming float</w:t>
      </w:r>
    </w:p>
    <w:p w14:paraId="1ABB8BB7" w14:textId="52AF4524" w:rsidR="001E3173" w:rsidRDefault="001E3173" w:rsidP="002E5F73">
      <w:pPr>
        <w:pStyle w:val="Bullet1"/>
      </w:pPr>
      <w:r>
        <w:t>cashier balancing and shift changeover procedures</w:t>
      </w:r>
    </w:p>
    <w:p w14:paraId="27EBAE51" w14:textId="71568A44" w:rsidR="001E3173" w:rsidRDefault="001E3173" w:rsidP="002E5F73">
      <w:pPr>
        <w:pStyle w:val="Bullet1"/>
      </w:pPr>
      <w:r>
        <w:t>coin hopper refill and reconciliation procedures. An adequate level of documentation should be maintained to record all money movement to and from the hopper</w:t>
      </w:r>
    </w:p>
    <w:p w14:paraId="178B342B" w14:textId="45C0C66E" w:rsidR="001E3173" w:rsidRDefault="001E3173" w:rsidP="002E5F73">
      <w:pPr>
        <w:pStyle w:val="Bullet1"/>
      </w:pPr>
      <w:r>
        <w:t>cash collection and storing procedures, including collection and storage of redeemed tickets from gaming machines, credit redemption terminals and the cashier station</w:t>
      </w:r>
    </w:p>
    <w:p w14:paraId="525D07D2" w14:textId="2655D45D" w:rsidR="001E3173" w:rsidRDefault="001E3173" w:rsidP="002E5F73">
      <w:pPr>
        <w:pStyle w:val="Bullet1"/>
      </w:pPr>
      <w:r>
        <w:t>documenting procedures to follow up any identifiable variances, coin spillage, ticket destruction, or discrepancies</w:t>
      </w:r>
    </w:p>
    <w:p w14:paraId="24921E5D" w14:textId="71B0CA82" w:rsidR="001E3173" w:rsidRDefault="001E3173" w:rsidP="002E5F73">
      <w:pPr>
        <w:pStyle w:val="Bullet1"/>
      </w:pPr>
      <w:r>
        <w:t xml:space="preserve">signatory verification and adequate documentation for all monies moved within the gaming venue, </w:t>
      </w:r>
      <w:proofErr w:type="gramStart"/>
      <w:r>
        <w:t>in particular from</w:t>
      </w:r>
      <w:proofErr w:type="gramEnd"/>
      <w:r>
        <w:t xml:space="preserve"> the strong-room and gaming float, to and from gaming machines and between cashier shifts.</w:t>
      </w:r>
    </w:p>
    <w:p w14:paraId="295F4BBE" w14:textId="44914FD5" w:rsidR="001E3173" w:rsidRDefault="000F4297" w:rsidP="001E3173">
      <w:r>
        <w:br w:type="column"/>
      </w:r>
      <w:r w:rsidR="001E3173">
        <w:t>A venue operator must ensure that appropriate comparisons are made to ensure actual totals collected are accurate in comparison to expected totals. Immediate investigation must be conducted into any material variances that arise in this regard.</w:t>
      </w:r>
    </w:p>
    <w:p w14:paraId="62D627C3" w14:textId="21FD69FF" w:rsidR="001E3173" w:rsidRPr="002E5F73" w:rsidRDefault="001E3173" w:rsidP="002E5F73">
      <w:pPr>
        <w:pStyle w:val="Heading4"/>
      </w:pPr>
      <w:r w:rsidRPr="002E5F73">
        <w:t xml:space="preserve">Maintaining </w:t>
      </w:r>
      <w:r w:rsidR="002E5F73" w:rsidRPr="002E5F73">
        <w:t>c</w:t>
      </w:r>
      <w:r w:rsidRPr="002E5F73">
        <w:t>ashless wallet balances</w:t>
      </w:r>
    </w:p>
    <w:p w14:paraId="092D09CE" w14:textId="6A48CB03" w:rsidR="001E3173" w:rsidRDefault="001E3173" w:rsidP="001E3173">
      <w:r>
        <w:t>A venue operator must separately account for funds held in respect of cashless wallet balances, to ensure any or all patrons can withdraw the funds upon request. Records must be kept to monitor such amounts at all times and ensure player funds are maintained.</w:t>
      </w:r>
    </w:p>
    <w:p w14:paraId="1CB3C893" w14:textId="21F25F90" w:rsidR="001E3173" w:rsidRDefault="001E3173" w:rsidP="002E5F73">
      <w:pPr>
        <w:pStyle w:val="Heading4"/>
      </w:pPr>
      <w:r>
        <w:t>Payment of tickets during system downtime</w:t>
      </w:r>
    </w:p>
    <w:p w14:paraId="1A57C1FD" w14:textId="3C489E9D" w:rsidR="001E3173" w:rsidRDefault="001E3173" w:rsidP="001E3173">
      <w:r>
        <w:t>During periods of monitoring system downtime or TITO system downtime, tickets issued by such systems may be redeemed by patrons at the venue operator’s discretion, notwithstanding the inability to validate those tickets.</w:t>
      </w:r>
    </w:p>
    <w:p w14:paraId="77B8D072" w14:textId="4F664E11" w:rsidR="001E3173" w:rsidRDefault="001E3173" w:rsidP="001E3173">
      <w:r>
        <w:t xml:space="preserve">Manual records must be kept of any such redemptions, and the tickets must be validated and redeemed as soon as practicable after the relevant system is back </w:t>
      </w:r>
      <w:r w:rsidR="000F1F50">
        <w:t>online</w:t>
      </w:r>
      <w:r>
        <w:t>. Manual records should also be maintained to reflect the subsequent validation.</w:t>
      </w:r>
    </w:p>
    <w:p w14:paraId="2101DAAC" w14:textId="3E44E81B" w:rsidR="001E3173" w:rsidRDefault="001E3173" w:rsidP="001E3173">
      <w:r>
        <w:t>Any source documents used in the cash handling and collection procedures within a venue must be maintained in line with section 1.6 of these requirements.</w:t>
      </w:r>
    </w:p>
    <w:p w14:paraId="2EBA5E3E" w14:textId="392AC436" w:rsidR="002E5F73" w:rsidRDefault="001F6363" w:rsidP="008B0DCD">
      <w:pPr>
        <w:pStyle w:val="Heading2"/>
        <w:numPr>
          <w:ilvl w:val="0"/>
          <w:numId w:val="0"/>
        </w:numPr>
      </w:pPr>
      <w:bookmarkStart w:id="24" w:name="_Toc114465561"/>
      <w:r>
        <w:t xml:space="preserve">2.5 </w:t>
      </w:r>
      <w:r w:rsidR="001E3173">
        <w:t>J</w:t>
      </w:r>
      <w:r w:rsidR="002E5F73">
        <w:t>ackpot monitoring and reconciliations</w:t>
      </w:r>
      <w:bookmarkEnd w:id="24"/>
    </w:p>
    <w:p w14:paraId="53535E43" w14:textId="40541737" w:rsidR="002E5F73" w:rsidRDefault="001E3173" w:rsidP="002E5F73">
      <w:pPr>
        <w:pStyle w:val="Heading3"/>
      </w:pPr>
      <w:r>
        <w:t>D</w:t>
      </w:r>
      <w:r w:rsidR="002E5F73">
        <w:t>efinitions</w:t>
      </w:r>
    </w:p>
    <w:p w14:paraId="7E94D535" w14:textId="6A76E915" w:rsidR="001E3173" w:rsidRDefault="001E3173" w:rsidP="001E3173">
      <w:r w:rsidRPr="002E5F73">
        <w:rPr>
          <w:b/>
          <w:bCs/>
        </w:rPr>
        <w:t>L</w:t>
      </w:r>
      <w:r w:rsidR="002E5F73" w:rsidRPr="002E5F73">
        <w:rPr>
          <w:b/>
          <w:bCs/>
        </w:rPr>
        <w:t>inked jackpot arrangements (LJA</w:t>
      </w:r>
      <w:r w:rsidRPr="002E5F73">
        <w:rPr>
          <w:b/>
          <w:bCs/>
        </w:rPr>
        <w:t>):</w:t>
      </w:r>
      <w:r>
        <w:t xml:space="preserve"> a jackpot arrangement where multiple gaming machines are linked, within a single venue, to that jackpot. Prizes are funded and awarded external to the operation of the gaming machine and the awarding of base game prizes by the gaming machine game.</w:t>
      </w:r>
    </w:p>
    <w:p w14:paraId="2EC447F8" w14:textId="3D864E48" w:rsidR="001E3173" w:rsidRDefault="002E38DE" w:rsidP="001E3173">
      <w:r>
        <w:rPr>
          <w:b/>
          <w:bCs/>
        </w:rPr>
        <w:br w:type="column"/>
      </w:r>
      <w:r w:rsidR="001E3173" w:rsidRPr="002E5F73">
        <w:rPr>
          <w:b/>
          <w:bCs/>
        </w:rPr>
        <w:lastRenderedPageBreak/>
        <w:t>S</w:t>
      </w:r>
      <w:r w:rsidR="002E5F73" w:rsidRPr="002E5F73">
        <w:rPr>
          <w:b/>
          <w:bCs/>
        </w:rPr>
        <w:t>tandalone jackpot machines</w:t>
      </w:r>
      <w:r w:rsidR="001E3173" w:rsidRPr="002E5F73">
        <w:rPr>
          <w:b/>
          <w:bCs/>
        </w:rPr>
        <w:t xml:space="preserve"> (SJM):</w:t>
      </w:r>
      <w:r w:rsidR="001E3173">
        <w:t xml:space="preserve"> a gaming machine which offers an </w:t>
      </w:r>
      <w:r w:rsidR="008D65E9">
        <w:t>incrementing jackpot prize</w:t>
      </w:r>
      <w:r w:rsidR="001E3173">
        <w:t>, which are funded and awarded based on the operation of the individual game and are not linked to any other gaming machines</w:t>
      </w:r>
      <w:r w:rsidR="002E5F73">
        <w:t>.</w:t>
      </w:r>
    </w:p>
    <w:p w14:paraId="3B09B65B" w14:textId="7F1BD4D6" w:rsidR="001E3173" w:rsidRDefault="002E5F73" w:rsidP="001E3173">
      <w:r w:rsidRPr="002E5F73">
        <w:rPr>
          <w:b/>
          <w:bCs/>
        </w:rPr>
        <w:t>Individual linked jackpot pool</w:t>
      </w:r>
      <w:r w:rsidR="001E3173" w:rsidRPr="002E5F73">
        <w:rPr>
          <w:b/>
          <w:bCs/>
        </w:rPr>
        <w:t>:</w:t>
      </w:r>
      <w:r w:rsidR="001E3173">
        <w:t xml:space="preserve"> in relation to each individual LJA, the value of total contributions to the individual LJA pool, less amounts paid out as jackpot prizes under the same LJA.</w:t>
      </w:r>
    </w:p>
    <w:p w14:paraId="7EA5A2E9" w14:textId="1E6EAD04" w:rsidR="001E3173" w:rsidRDefault="001E3173" w:rsidP="001E3173">
      <w:r w:rsidRPr="0071056D">
        <w:rPr>
          <w:b/>
          <w:bCs/>
        </w:rPr>
        <w:t>J</w:t>
      </w:r>
      <w:r w:rsidR="002E5F73" w:rsidRPr="0071056D">
        <w:rPr>
          <w:b/>
          <w:bCs/>
        </w:rPr>
        <w:t xml:space="preserve">ackpot special prize pool </w:t>
      </w:r>
      <w:r w:rsidRPr="0071056D">
        <w:rPr>
          <w:b/>
          <w:bCs/>
        </w:rPr>
        <w:t>(JSPP):</w:t>
      </w:r>
      <w:r>
        <w:t xml:space="preserve"> represents the total value of all player contributions to LJAs, less amounts paid as jackpot prizes in relation to the LJAs. The JSPP is calculated for the entire </w:t>
      </w:r>
      <w:r w:rsidR="008D65E9">
        <w:t>venue and</w:t>
      </w:r>
      <w:r>
        <w:t xml:space="preserve"> includes the value of each individual linked jackpot pool in relation to each LJA offered at the venue.</w:t>
      </w:r>
    </w:p>
    <w:p w14:paraId="3367CD64" w14:textId="0152F978" w:rsidR="001E3173" w:rsidRDefault="001E3173" w:rsidP="001E3173">
      <w:r w:rsidRPr="0071056D">
        <w:rPr>
          <w:b/>
          <w:bCs/>
        </w:rPr>
        <w:t>J</w:t>
      </w:r>
      <w:r w:rsidR="0071056D" w:rsidRPr="0071056D">
        <w:rPr>
          <w:b/>
          <w:bCs/>
        </w:rPr>
        <w:t>ackpot retirement</w:t>
      </w:r>
      <w:r w:rsidRPr="0071056D">
        <w:rPr>
          <w:b/>
          <w:bCs/>
        </w:rPr>
        <w:t>:</w:t>
      </w:r>
      <w:r>
        <w:t xml:space="preserve"> occurs when a jackpot arrangement ceases operation and is decommissioned from the monitoring system.</w:t>
      </w:r>
    </w:p>
    <w:p w14:paraId="303F3BD6" w14:textId="32993E6A" w:rsidR="001E3173" w:rsidRDefault="001E3173" w:rsidP="001E3173">
      <w:r w:rsidRPr="0071056D">
        <w:rPr>
          <w:b/>
          <w:bCs/>
        </w:rPr>
        <w:t>J</w:t>
      </w:r>
      <w:r w:rsidR="0071056D" w:rsidRPr="0071056D">
        <w:rPr>
          <w:b/>
          <w:bCs/>
        </w:rPr>
        <w:t>ackpot signage</w:t>
      </w:r>
      <w:r w:rsidRPr="0071056D">
        <w:rPr>
          <w:b/>
          <w:bCs/>
        </w:rPr>
        <w:t>:</w:t>
      </w:r>
      <w:r>
        <w:t xml:space="preserve"> the value displayed on the signage above the gaming machines linked to the LJA. This is ordinarily the value of the start out, plus any signage increment.</w:t>
      </w:r>
    </w:p>
    <w:p w14:paraId="04E757AA" w14:textId="1E333C65" w:rsidR="001E3173" w:rsidRDefault="001E3173" w:rsidP="001E3173">
      <w:r w:rsidRPr="0071056D">
        <w:rPr>
          <w:b/>
          <w:bCs/>
        </w:rPr>
        <w:t>S</w:t>
      </w:r>
      <w:r w:rsidR="0071056D" w:rsidRPr="0071056D">
        <w:rPr>
          <w:b/>
          <w:bCs/>
        </w:rPr>
        <w:t>tart out</w:t>
      </w:r>
      <w:r w:rsidRPr="0071056D">
        <w:rPr>
          <w:b/>
          <w:bCs/>
        </w:rPr>
        <w:t>:</w:t>
      </w:r>
      <w:r>
        <w:t xml:space="preserve"> the initial starting value of the jackpot prize. The signage pool is reset to the start out after each jackpot is triggered.</w:t>
      </w:r>
    </w:p>
    <w:p w14:paraId="3A1ABCD8" w14:textId="1FF34710" w:rsidR="001E3173" w:rsidRDefault="001E3173" w:rsidP="001E3173">
      <w:r w:rsidRPr="0071056D">
        <w:rPr>
          <w:b/>
          <w:bCs/>
        </w:rPr>
        <w:t>J</w:t>
      </w:r>
      <w:r w:rsidR="0071056D" w:rsidRPr="0071056D">
        <w:rPr>
          <w:b/>
          <w:bCs/>
        </w:rPr>
        <w:t>ackpot contributions</w:t>
      </w:r>
      <w:r w:rsidRPr="0071056D">
        <w:rPr>
          <w:b/>
          <w:bCs/>
        </w:rPr>
        <w:t>:</w:t>
      </w:r>
      <w:r>
        <w:t xml:space="preserve"> Player contributions to LJAs which includes:</w:t>
      </w:r>
    </w:p>
    <w:p w14:paraId="2ECB8B21" w14:textId="533C84ED" w:rsidR="001E3173" w:rsidRDefault="0071056D" w:rsidP="002E5F73">
      <w:pPr>
        <w:pStyle w:val="Bullet1"/>
      </w:pPr>
      <w:r w:rsidRPr="0071056D">
        <w:rPr>
          <w:b/>
          <w:bCs/>
        </w:rPr>
        <w:t>signage increment</w:t>
      </w:r>
      <w:r w:rsidR="001E3173" w:rsidRPr="0071056D">
        <w:rPr>
          <w:b/>
          <w:bCs/>
        </w:rPr>
        <w:t>:</w:t>
      </w:r>
      <w:r w:rsidR="001E3173">
        <w:t xml:space="preserve"> value of the jackpot contributions to the signage of the individual jackpot arrangement</w:t>
      </w:r>
    </w:p>
    <w:p w14:paraId="51A5309A" w14:textId="2D76F6A3" w:rsidR="001E3173" w:rsidRDefault="0071056D" w:rsidP="002E5F73">
      <w:pPr>
        <w:pStyle w:val="Bullet1"/>
      </w:pPr>
      <w:r w:rsidRPr="0071056D">
        <w:rPr>
          <w:b/>
          <w:bCs/>
        </w:rPr>
        <w:t>start out increment</w:t>
      </w:r>
      <w:r w:rsidR="001E3173" w:rsidRPr="0071056D">
        <w:rPr>
          <w:b/>
          <w:bCs/>
        </w:rPr>
        <w:t>:</w:t>
      </w:r>
      <w:r w:rsidR="001E3173">
        <w:t xml:space="preserve"> value of jackpot contributions to fund the start out of the jackpot prize</w:t>
      </w:r>
    </w:p>
    <w:p w14:paraId="2CC20B99" w14:textId="3358799B" w:rsidR="001E3173" w:rsidRDefault="0071056D" w:rsidP="002E5F73">
      <w:pPr>
        <w:pStyle w:val="Bullet1"/>
      </w:pPr>
      <w:r w:rsidRPr="0071056D">
        <w:rPr>
          <w:b/>
          <w:bCs/>
        </w:rPr>
        <w:t>total increment</w:t>
      </w:r>
      <w:r w:rsidR="001E3173" w:rsidRPr="0071056D">
        <w:rPr>
          <w:b/>
          <w:bCs/>
        </w:rPr>
        <w:t>:</w:t>
      </w:r>
      <w:r w:rsidR="001E3173">
        <w:t xml:space="preserve"> value of signage and start out increment.</w:t>
      </w:r>
    </w:p>
    <w:p w14:paraId="5DFB3EA0" w14:textId="49E2F067" w:rsidR="001E3173" w:rsidRDefault="002E38DE" w:rsidP="0071056D">
      <w:pPr>
        <w:pStyle w:val="Heading3"/>
      </w:pPr>
      <w:r>
        <w:br w:type="column"/>
      </w:r>
      <w:r w:rsidR="0071056D">
        <w:t>Jackpot operations</w:t>
      </w:r>
    </w:p>
    <w:p w14:paraId="7B88E0E3" w14:textId="459A1A54" w:rsidR="001E3173" w:rsidRDefault="001E3173" w:rsidP="001E3173">
      <w:r>
        <w:t>A venue operator must only operate approved machine and/or jackpot arrangements.</w:t>
      </w:r>
    </w:p>
    <w:p w14:paraId="1ED386AA" w14:textId="2D8AEC5B" w:rsidR="001E3173" w:rsidRDefault="001E3173" w:rsidP="001E3173">
      <w:r>
        <w:t xml:space="preserve">A venue operator must seek approval to operate a single venue LJA within the gaming venue. </w:t>
      </w:r>
    </w:p>
    <w:p w14:paraId="7DAF5B6B" w14:textId="08AB4536" w:rsidR="001E3173" w:rsidRDefault="001E3173" w:rsidP="001E3173">
      <w:r>
        <w:t xml:space="preserve">A standalone jackpot is approved in line with the specific game approval which offers a standalone jackpot. </w:t>
      </w:r>
    </w:p>
    <w:p w14:paraId="199ABAD5" w14:textId="77777777" w:rsidR="00623330" w:rsidRDefault="001E3173" w:rsidP="00623330">
      <w:pPr>
        <w:pStyle w:val="Heading3"/>
      </w:pPr>
      <w:r>
        <w:t>M</w:t>
      </w:r>
      <w:r w:rsidR="00623330">
        <w:t>onitoring linked jackpot arrangements</w:t>
      </w:r>
    </w:p>
    <w:p w14:paraId="7DB6BB7C" w14:textId="5D6297C4" w:rsidR="001E3173" w:rsidRDefault="001E3173" w:rsidP="001E3173">
      <w:r>
        <w:t>A venue operator must regularly monitor the operations of each LJA at the gaming venue.</w:t>
      </w:r>
    </w:p>
    <w:p w14:paraId="47D375F5" w14:textId="7DA209C2" w:rsidR="001E3173" w:rsidRDefault="001E3173" w:rsidP="001E3173">
      <w:r>
        <w:t>Adequate supporting documentation must be maintained by the gaming venue to demonstrate adherence to the required processes regarding the monitoring of LJAs.</w:t>
      </w:r>
    </w:p>
    <w:p w14:paraId="2782DFC9" w14:textId="7AEA3B52" w:rsidR="001E3173" w:rsidRDefault="001E3173" w:rsidP="00623330">
      <w:pPr>
        <w:pStyle w:val="Heading4"/>
      </w:pPr>
      <w:r>
        <w:t>Monitoring the participation of machines in the LJA</w:t>
      </w:r>
    </w:p>
    <w:p w14:paraId="5DB672D8" w14:textId="06F2BB65" w:rsidR="001E3173" w:rsidRDefault="001E3173" w:rsidP="001E3173">
      <w:r>
        <w:t xml:space="preserve">A venue operator must ensure all gaming machines configured to be linked to the LJA are actively </w:t>
      </w:r>
      <w:proofErr w:type="gramStart"/>
      <w:r>
        <w:t>participating in the LJA at all times</w:t>
      </w:r>
      <w:proofErr w:type="gramEnd"/>
      <w:r>
        <w:t>.</w:t>
      </w:r>
    </w:p>
    <w:p w14:paraId="09D16DBD" w14:textId="290BB5E2" w:rsidR="001E3173" w:rsidRDefault="001E3173" w:rsidP="001E3173">
      <w:r>
        <w:t>Each gaming machine configured to participate in an LJA must display required signage indicating the gaming machine is actively participating in the LJA.</w:t>
      </w:r>
    </w:p>
    <w:p w14:paraId="374EA1AB" w14:textId="4FED11FA" w:rsidR="001E3173" w:rsidRDefault="001E3173" w:rsidP="001E3173">
      <w:r>
        <w:t>Failure to display the required signage on a gaming machine may indicate that the gaming machine has stopped participating in the LJA.</w:t>
      </w:r>
    </w:p>
    <w:p w14:paraId="38F9E867" w14:textId="77777777" w:rsidR="00823F21" w:rsidRDefault="001E3173" w:rsidP="00823F21">
      <w:r>
        <w:t>Any gaming machine that has stopped participating in an LJA must be investigated and rectified accordingly. The monitoring licensee or a venue operators service provider should be contacted to correct any gaming machines not linked to a jackpot as required. If unable to immediately correct the issue, the gaming machine should be removed from game play mode or, alternatively, patrons must be informed that the gaming machine is not currently participating in the LJA, until the issue is corrected.</w:t>
      </w:r>
    </w:p>
    <w:p w14:paraId="2F5FCA97" w14:textId="4D0E4F02" w:rsidR="001E3173" w:rsidRDefault="002E38DE" w:rsidP="002E38DE">
      <w:pPr>
        <w:pStyle w:val="Heading4"/>
      </w:pPr>
      <w:r>
        <w:br w:type="column"/>
      </w:r>
      <w:r w:rsidR="001E3173">
        <w:lastRenderedPageBreak/>
        <w:t>Monitoring the operation of the LJA in line with the approved conditions and the accuracy of information reported by the Monitoring Licensee</w:t>
      </w:r>
    </w:p>
    <w:p w14:paraId="5AC6729D" w14:textId="3D90A9E8" w:rsidR="001E3173" w:rsidRDefault="001E3173" w:rsidP="001E3173">
      <w:r>
        <w:t xml:space="preserve">A venue operator must monitor the operation of each LJA, primarily the jackpot contributions and prizes won, to ensure the LJA is operating in line with the approved jackpot conditions and that information being reported by the monitoring licensee, in relation to the LJAs, is accurate and complete. </w:t>
      </w:r>
    </w:p>
    <w:p w14:paraId="32D58E1A" w14:textId="715DFBC5" w:rsidR="001E3173" w:rsidRDefault="001E3173" w:rsidP="001E3173">
      <w:r>
        <w:t>Monitoring an LJA’s operation will include an assessment of:</w:t>
      </w:r>
    </w:p>
    <w:p w14:paraId="45B94267" w14:textId="7A455312" w:rsidR="001E3173" w:rsidRDefault="00823F21" w:rsidP="00623330">
      <w:pPr>
        <w:pStyle w:val="Bullet1"/>
      </w:pPr>
      <w:r>
        <w:rPr>
          <w:b/>
          <w:bCs/>
        </w:rPr>
        <w:t>j</w:t>
      </w:r>
      <w:r w:rsidR="001E3173" w:rsidRPr="00623330">
        <w:rPr>
          <w:b/>
          <w:bCs/>
        </w:rPr>
        <w:t>ackpot contributions:</w:t>
      </w:r>
      <w:r w:rsidR="001E3173">
        <w:t xml:space="preserve"> the approved percentage of turnover that is contributed by each gaming machine participating in the jackpot and accumulated to the individual linked jackpot pool to fund the ultimate payment of jackpot prizes awarded under the LJA; and </w:t>
      </w:r>
    </w:p>
    <w:p w14:paraId="69762BBE" w14:textId="5DDED849" w:rsidR="001E3173" w:rsidRDefault="00823F21" w:rsidP="00623330">
      <w:pPr>
        <w:pStyle w:val="Bullet1"/>
      </w:pPr>
      <w:r>
        <w:rPr>
          <w:b/>
          <w:bCs/>
        </w:rPr>
        <w:t>j</w:t>
      </w:r>
      <w:r w:rsidR="001E3173" w:rsidRPr="00623330">
        <w:rPr>
          <w:b/>
          <w:bCs/>
        </w:rPr>
        <w:t>ackpot won:</w:t>
      </w:r>
      <w:r w:rsidR="001E3173">
        <w:t xml:space="preserve"> the value of the jackpot prizes awarded under the LJA.</w:t>
      </w:r>
    </w:p>
    <w:p w14:paraId="7578FB00" w14:textId="77777777" w:rsidR="001E3173" w:rsidRDefault="001E3173" w:rsidP="001E3173">
      <w:r>
        <w:t>To provide adequate supporting documentation for this requirement, a venue operator must provide:</w:t>
      </w:r>
    </w:p>
    <w:p w14:paraId="3D422D2E" w14:textId="5069FA69" w:rsidR="001E3173" w:rsidRDefault="00623330" w:rsidP="00623330">
      <w:pPr>
        <w:pStyle w:val="Bullet1"/>
      </w:pPr>
      <w:r>
        <w:t>a</w:t>
      </w:r>
      <w:r w:rsidR="001E3173">
        <w:t>n independent calculation of daily jackpot contributions to the LJA in line with the approved jackpot conditions and the reported turnover of the linked gaming machines</w:t>
      </w:r>
    </w:p>
    <w:p w14:paraId="2ECC130E" w14:textId="57F6D812" w:rsidR="001E3173" w:rsidRDefault="00623330" w:rsidP="00623330">
      <w:pPr>
        <w:pStyle w:val="Bullet1"/>
      </w:pPr>
      <w:r>
        <w:t>a</w:t>
      </w:r>
      <w:r w:rsidR="001E3173">
        <w:t xml:space="preserve"> comparison of the independently calculated jackpot contributions to the value of amounts reported by the monitoring licensee</w:t>
      </w:r>
    </w:p>
    <w:p w14:paraId="3C285224" w14:textId="1A949021" w:rsidR="001E3173" w:rsidRDefault="00623330" w:rsidP="00623330">
      <w:pPr>
        <w:pStyle w:val="Bullet1"/>
      </w:pPr>
      <w:r>
        <w:t>a</w:t>
      </w:r>
      <w:r w:rsidR="001E3173">
        <w:t xml:space="preserve"> review of the reported amounts, and where applicable, a reconciliation of reported jackpot won to actual wins paid.</w:t>
      </w:r>
    </w:p>
    <w:p w14:paraId="54DAC9AC" w14:textId="6601119E" w:rsidR="001E3173" w:rsidRDefault="002E38DE" w:rsidP="00623330">
      <w:pPr>
        <w:pStyle w:val="BreakouttextBlue"/>
      </w:pPr>
      <w:r w:rsidRPr="002E38DE">
        <w:rPr>
          <w:b/>
          <w:bCs/>
        </w:rPr>
        <w:t>A</w:t>
      </w:r>
      <w:r w:rsidR="00FB1B1C">
        <w:rPr>
          <w:b/>
          <w:bCs/>
        </w:rPr>
        <w:t>ppendix</w:t>
      </w:r>
      <w:r w:rsidR="001E3173" w:rsidRPr="002E38DE">
        <w:rPr>
          <w:b/>
          <w:bCs/>
        </w:rPr>
        <w:t xml:space="preserve"> 4</w:t>
      </w:r>
      <w:r w:rsidR="001E3173">
        <w:t xml:space="preserve"> </w:t>
      </w:r>
      <w:r>
        <w:t xml:space="preserve">(table 1) </w:t>
      </w:r>
      <w:r w:rsidR="001E3173">
        <w:t>suggests the structure of a report which can be used to verify the jackpot contribution and ensure adherence to associated requirements in this document.</w:t>
      </w:r>
    </w:p>
    <w:p w14:paraId="504ABB9E" w14:textId="421CDC80" w:rsidR="001E3173" w:rsidRDefault="002E38DE" w:rsidP="001E3173">
      <w:r>
        <w:br w:type="column"/>
      </w:r>
      <w:r w:rsidR="001E3173">
        <w:t>Any discrepancies in relation to the above reconciliations should be immediately reported to the monitoring licensee for further investigation.</w:t>
      </w:r>
    </w:p>
    <w:p w14:paraId="20D0006F" w14:textId="203B604E" w:rsidR="001E3173" w:rsidRDefault="001E3173" w:rsidP="001E3173">
      <w:r>
        <w:t>A venue operator must periodically bank verified jackpot contributions to a separate gaming bank account maintained solely for the operation of LJAs. These amounts should be monitored and used to pay linked jackpot prizes.</w:t>
      </w:r>
    </w:p>
    <w:p w14:paraId="27C93135" w14:textId="3C3BA6A6" w:rsidR="001E3173" w:rsidRDefault="001E3173" w:rsidP="00623330">
      <w:pPr>
        <w:pStyle w:val="Heading4"/>
      </w:pPr>
      <w:r>
        <w:t>Monitoring the status of each individual linked jackpot pool AND the JSPP</w:t>
      </w:r>
    </w:p>
    <w:p w14:paraId="6C7192D8" w14:textId="77777777" w:rsidR="001E3173" w:rsidRDefault="001E3173" w:rsidP="001E3173">
      <w:r>
        <w:t>A venue operator must monitor the status of:</w:t>
      </w:r>
    </w:p>
    <w:p w14:paraId="5C1B6B71" w14:textId="644990FB" w:rsidR="001E3173" w:rsidRDefault="001E3173" w:rsidP="00623330">
      <w:pPr>
        <w:pStyle w:val="Bullet1"/>
      </w:pPr>
      <w:r>
        <w:t>each individual linked jackpot pool</w:t>
      </w:r>
    </w:p>
    <w:p w14:paraId="22F5BB60" w14:textId="06864F1B" w:rsidR="001E3173" w:rsidRDefault="001E3173" w:rsidP="00623330">
      <w:pPr>
        <w:pStyle w:val="Bullet1"/>
      </w:pPr>
      <w:r>
        <w:t>the total value of its JSPP</w:t>
      </w:r>
      <w:r w:rsidR="00623330">
        <w:t>.</w:t>
      </w:r>
    </w:p>
    <w:p w14:paraId="5C483E76" w14:textId="2FB67A80" w:rsidR="001E3173" w:rsidRDefault="00623330" w:rsidP="001E3173">
      <w:r>
        <w:t xml:space="preserve">This is </w:t>
      </w:r>
      <w:r w:rsidR="001E3173">
        <w:t>to ensure its jackpot liability is managed, and adequate funds are available to pay jackpot prizes and any unpaid funds upon retirement of LJAs.</w:t>
      </w:r>
    </w:p>
    <w:p w14:paraId="0B49D7C8" w14:textId="11EA28E1" w:rsidR="001E3173" w:rsidRDefault="001E3173" w:rsidP="001E3173">
      <w:r>
        <w:t>The balance of each individual linked jackpot pool is the value of the total contribution less the total amounts paid out as jackpot prizes under each LJA.</w:t>
      </w:r>
    </w:p>
    <w:p w14:paraId="18C0D5AC" w14:textId="145EBFA0" w:rsidR="001E3173" w:rsidRDefault="001E3173" w:rsidP="001E3173">
      <w:r>
        <w:t>The balance of the JSPP represents the total value of each linked jackpot pool, and it is the total unpaid jackpot liabilities by the venue operator.</w:t>
      </w:r>
    </w:p>
    <w:p w14:paraId="38D1EF1E" w14:textId="77777777" w:rsidR="001E3173" w:rsidRDefault="001E3173" w:rsidP="001E3173">
      <w:r>
        <w:t>The monitoring of the JSPP must include:</w:t>
      </w:r>
    </w:p>
    <w:p w14:paraId="68CF1E40" w14:textId="53151D9F" w:rsidR="001E3173" w:rsidRDefault="00623330" w:rsidP="00623330">
      <w:pPr>
        <w:pStyle w:val="Bullet1"/>
      </w:pPr>
      <w:r>
        <w:t>m</w:t>
      </w:r>
      <w:r w:rsidR="001E3173">
        <w:t>onitoring of the status of each OPERATIONAL individual linked jackpot pool</w:t>
      </w:r>
    </w:p>
    <w:p w14:paraId="5D48F8F3" w14:textId="6E13A678" w:rsidR="001E3173" w:rsidRDefault="00623330" w:rsidP="00623330">
      <w:pPr>
        <w:pStyle w:val="Bullet1"/>
      </w:pPr>
      <w:r>
        <w:t>a</w:t>
      </w:r>
      <w:r w:rsidR="001E3173">
        <w:t>ccounting for the value of the balance of each RETIRED individual linked jackpot pool.</w:t>
      </w:r>
    </w:p>
    <w:p w14:paraId="711B8073" w14:textId="7DDBC76A" w:rsidR="001E3173" w:rsidRDefault="002E38DE" w:rsidP="00623330">
      <w:pPr>
        <w:pStyle w:val="BreakouttextBlue"/>
      </w:pPr>
      <w:r w:rsidRPr="002E38DE">
        <w:rPr>
          <w:b/>
          <w:bCs/>
        </w:rPr>
        <w:t>A</w:t>
      </w:r>
      <w:r w:rsidR="00FB1B1C">
        <w:rPr>
          <w:b/>
          <w:bCs/>
        </w:rPr>
        <w:t>ppendix</w:t>
      </w:r>
      <w:r w:rsidRPr="002E38DE">
        <w:rPr>
          <w:b/>
          <w:bCs/>
        </w:rPr>
        <w:t xml:space="preserve"> 4</w:t>
      </w:r>
      <w:r>
        <w:t xml:space="preserve"> (t</w:t>
      </w:r>
      <w:r w:rsidR="001E3173">
        <w:t>able</w:t>
      </w:r>
      <w:r w:rsidR="00623330">
        <w:t>s</w:t>
      </w:r>
      <w:r w:rsidR="001E3173">
        <w:t xml:space="preserve"> 2 and 3</w:t>
      </w:r>
      <w:r>
        <w:t>)</w:t>
      </w:r>
      <w:r w:rsidR="001E3173">
        <w:t xml:space="preserve"> suggests the structure of a report which can be used to monitor the value of the JSPP, and each individual jackpot pool that makes up the JSPP.</w:t>
      </w:r>
    </w:p>
    <w:p w14:paraId="471B9DB5" w14:textId="19ADF857" w:rsidR="001E3173" w:rsidRDefault="002E38DE" w:rsidP="002E38DE">
      <w:pPr>
        <w:spacing w:line="260" w:lineRule="atLeast"/>
      </w:pPr>
      <w:r>
        <w:br w:type="column"/>
      </w:r>
      <w:r w:rsidR="001E3173">
        <w:lastRenderedPageBreak/>
        <w:t>The example report provided includes all the information which must be monitored and validated by the venue operator in relation to each LJA, including but not limited to the:</w:t>
      </w:r>
    </w:p>
    <w:p w14:paraId="097E122F" w14:textId="34B304E9" w:rsidR="001E3173" w:rsidRDefault="00623330" w:rsidP="002E38DE">
      <w:pPr>
        <w:pStyle w:val="Bullet1"/>
        <w:spacing w:line="260" w:lineRule="atLeast"/>
      </w:pPr>
      <w:r>
        <w:t>n</w:t>
      </w:r>
      <w:r w:rsidR="001E3173">
        <w:t>ame of each LJA</w:t>
      </w:r>
    </w:p>
    <w:p w14:paraId="448C37FE" w14:textId="37214E06" w:rsidR="001E3173" w:rsidRDefault="00623330" w:rsidP="002E38DE">
      <w:pPr>
        <w:pStyle w:val="Bullet1"/>
        <w:spacing w:line="260" w:lineRule="atLeast"/>
      </w:pPr>
      <w:r>
        <w:t>s</w:t>
      </w:r>
      <w:r w:rsidR="001E3173">
        <w:t xml:space="preserve">tart and end date (if applicable) of each LJA </w:t>
      </w:r>
    </w:p>
    <w:p w14:paraId="524CD77A" w14:textId="368151A5" w:rsidR="001E3173" w:rsidRDefault="00623330" w:rsidP="002E38DE">
      <w:pPr>
        <w:pStyle w:val="Bullet1"/>
        <w:spacing w:line="260" w:lineRule="atLeast"/>
      </w:pPr>
      <w:r>
        <w:t>a</w:t>
      </w:r>
      <w:r w:rsidR="001E3173">
        <w:t>ccumulated value of total jackpot contributions to each LJA (since inception)</w:t>
      </w:r>
    </w:p>
    <w:p w14:paraId="68F332BE" w14:textId="0611700B" w:rsidR="001E3173" w:rsidRDefault="00623330" w:rsidP="002E38DE">
      <w:pPr>
        <w:pStyle w:val="Bullet1"/>
        <w:spacing w:line="260" w:lineRule="atLeast"/>
      </w:pPr>
      <w:r>
        <w:t>a</w:t>
      </w:r>
      <w:r w:rsidR="001E3173">
        <w:t>ccumulated value of all jackpots won in relation to each LJA (since inception)</w:t>
      </w:r>
    </w:p>
    <w:p w14:paraId="54EE918B" w14:textId="5F2188E1" w:rsidR="001E3173" w:rsidRDefault="00623330" w:rsidP="002E38DE">
      <w:pPr>
        <w:pStyle w:val="Bullet1"/>
        <w:spacing w:line="260" w:lineRule="atLeast"/>
      </w:pPr>
      <w:r>
        <w:t>b</w:t>
      </w:r>
      <w:r w:rsidR="001E3173">
        <w:t>alance of the current individual jackpot pools and the balance of the retired individual jackpot pools at time of retirement</w:t>
      </w:r>
    </w:p>
    <w:p w14:paraId="7510E937" w14:textId="69249BF3" w:rsidR="001E3173" w:rsidRDefault="00623330" w:rsidP="002E38DE">
      <w:pPr>
        <w:pStyle w:val="Bullet1"/>
        <w:spacing w:line="260" w:lineRule="atLeast"/>
      </w:pPr>
      <w:r>
        <w:t>t</w:t>
      </w:r>
      <w:r w:rsidR="001E3173">
        <w:t>he total value of the JSPP.</w:t>
      </w:r>
    </w:p>
    <w:p w14:paraId="224F9B83" w14:textId="77777777" w:rsidR="00623330" w:rsidRDefault="001E3173" w:rsidP="00623330">
      <w:pPr>
        <w:pStyle w:val="Heading3"/>
      </w:pPr>
      <w:r>
        <w:t>R</w:t>
      </w:r>
      <w:r w:rsidR="00623330">
        <w:t>etiring linked jackpot arrangements</w:t>
      </w:r>
    </w:p>
    <w:p w14:paraId="69C0F475" w14:textId="4ED2984A" w:rsidR="001E3173" w:rsidRDefault="001E3173" w:rsidP="002E38DE">
      <w:pPr>
        <w:spacing w:line="260" w:lineRule="atLeast"/>
      </w:pPr>
      <w:r>
        <w:t>A venue operator may retire an LJA as it deems necessary</w:t>
      </w:r>
      <w:r w:rsidR="00623330">
        <w:t xml:space="preserve">. </w:t>
      </w:r>
      <w:r w:rsidR="008D65E9">
        <w:t>However,</w:t>
      </w:r>
      <w:r>
        <w:t xml:space="preserve"> it must consult with the monitoring licensee to ensure the required processes are followed</w:t>
      </w:r>
      <w:r w:rsidR="00623330">
        <w:t>.</w:t>
      </w:r>
    </w:p>
    <w:p w14:paraId="015E839E" w14:textId="3451C3EA" w:rsidR="001E3173" w:rsidRDefault="00623330" w:rsidP="002E38DE">
      <w:pPr>
        <w:spacing w:line="260" w:lineRule="atLeast"/>
      </w:pPr>
      <w:r>
        <w:t>T</w:t>
      </w:r>
      <w:r w:rsidR="001E3173">
        <w:t xml:space="preserve">he monitoring licensee will facilitate the retiring and transfer of LJA pool </w:t>
      </w:r>
      <w:r>
        <w:t>to help</w:t>
      </w:r>
      <w:r w:rsidR="001E3173">
        <w:t xml:space="preserve"> with ensuring adherence to the conditions within this document. </w:t>
      </w:r>
    </w:p>
    <w:p w14:paraId="748E3E2D" w14:textId="4E754D4B" w:rsidR="001E3173" w:rsidRDefault="001E3173" w:rsidP="002E38DE">
      <w:pPr>
        <w:spacing w:line="260" w:lineRule="atLeast"/>
      </w:pPr>
      <w:r>
        <w:t>The Commission will monitor the retiring of LJAs and ensure adherence to this document.</w:t>
      </w:r>
    </w:p>
    <w:p w14:paraId="257CFEF6" w14:textId="3C70CD00" w:rsidR="001E3173" w:rsidRDefault="001E3173" w:rsidP="002E38DE">
      <w:pPr>
        <w:spacing w:line="260" w:lineRule="atLeast"/>
      </w:pPr>
      <w:r>
        <w:t>Upon retiring an LJA, the venue operator must:</w:t>
      </w:r>
    </w:p>
    <w:p w14:paraId="1217F88C" w14:textId="3FD5B81B" w:rsidR="001E3173" w:rsidRDefault="001E3173" w:rsidP="00623330">
      <w:pPr>
        <w:pStyle w:val="Heading4"/>
      </w:pPr>
      <w:r>
        <w:t>Transfer the signage pool to another LJA (where applicable)</w:t>
      </w:r>
    </w:p>
    <w:p w14:paraId="655B7FAE" w14:textId="6F8C4052" w:rsidR="001E3173" w:rsidRDefault="001E3173" w:rsidP="002E38DE">
      <w:pPr>
        <w:spacing w:line="260" w:lineRule="atLeast"/>
      </w:pPr>
      <w:r>
        <w:t xml:space="preserve">Upon retiring </w:t>
      </w:r>
      <w:r w:rsidR="008D65E9">
        <w:t>an</w:t>
      </w:r>
      <w:r>
        <w:t xml:space="preserve"> LJA, the signage pool must be transferred to another LJA within the venue (where applicable).</w:t>
      </w:r>
    </w:p>
    <w:p w14:paraId="23B8205A" w14:textId="465E2B7F" w:rsidR="001E3173" w:rsidRDefault="001E3173" w:rsidP="002E38DE">
      <w:pPr>
        <w:spacing w:line="260" w:lineRule="atLeast"/>
      </w:pPr>
      <w:r>
        <w:t>If there is no other LJA at the venue at the time of the retirement, the signage pool must be transferred to another jackpot should the venue re-introduce a jackpot at the venue within 6 months of the retirement.</w:t>
      </w:r>
    </w:p>
    <w:p w14:paraId="2BB76079" w14:textId="77777777" w:rsidR="001F6363" w:rsidRDefault="001E3173" w:rsidP="001F6363">
      <w:pPr>
        <w:spacing w:line="260" w:lineRule="atLeast"/>
      </w:pPr>
      <w:r>
        <w:t>If no LJA is operating within the venue after 6 months of retiring the LJA, the venue does not incur an unpaid jackpot liability in relation to the signage pool, as this is included in the overall liability of the individual linked jackpot pool</w:t>
      </w:r>
    </w:p>
    <w:p w14:paraId="4ECBDBF9" w14:textId="74884B22" w:rsidR="001E3173" w:rsidRDefault="001E3173" w:rsidP="001F6363">
      <w:pPr>
        <w:spacing w:after="0" w:line="260" w:lineRule="atLeast"/>
      </w:pPr>
      <w:r>
        <w:t>.</w:t>
      </w:r>
      <w:r w:rsidR="001F6363">
        <w:br w:type="column"/>
      </w:r>
      <w:r w:rsidRPr="001F6363">
        <w:rPr>
          <w:rFonts w:eastAsiaTheme="majorEastAsia" w:cstheme="majorBidi"/>
          <w:b/>
          <w:bCs/>
          <w:szCs w:val="22"/>
        </w:rPr>
        <w:t xml:space="preserve">Account for the value of the </w:t>
      </w:r>
      <w:r w:rsidR="002E38DE" w:rsidRPr="001F6363">
        <w:rPr>
          <w:rFonts w:eastAsiaTheme="majorEastAsia" w:cstheme="majorBidi"/>
          <w:b/>
          <w:bCs/>
          <w:szCs w:val="22"/>
        </w:rPr>
        <w:t>i</w:t>
      </w:r>
      <w:r w:rsidRPr="001F6363">
        <w:rPr>
          <w:rFonts w:eastAsiaTheme="majorEastAsia" w:cstheme="majorBidi"/>
          <w:b/>
          <w:bCs/>
          <w:szCs w:val="22"/>
        </w:rPr>
        <w:t xml:space="preserve">ndividual </w:t>
      </w:r>
      <w:r w:rsidR="002E38DE" w:rsidRPr="001F6363">
        <w:rPr>
          <w:rFonts w:eastAsiaTheme="majorEastAsia" w:cstheme="majorBidi"/>
          <w:b/>
          <w:bCs/>
          <w:szCs w:val="22"/>
        </w:rPr>
        <w:t>l</w:t>
      </w:r>
      <w:r w:rsidRPr="001F6363">
        <w:rPr>
          <w:rFonts w:eastAsiaTheme="majorEastAsia" w:cstheme="majorBidi"/>
          <w:b/>
          <w:bCs/>
          <w:szCs w:val="22"/>
        </w:rPr>
        <w:t xml:space="preserve">inked </w:t>
      </w:r>
      <w:r w:rsidR="002E38DE" w:rsidRPr="001F6363">
        <w:rPr>
          <w:rFonts w:eastAsiaTheme="majorEastAsia" w:cstheme="majorBidi"/>
          <w:b/>
          <w:bCs/>
          <w:szCs w:val="22"/>
        </w:rPr>
        <w:t>j</w:t>
      </w:r>
      <w:r w:rsidRPr="001F6363">
        <w:rPr>
          <w:rFonts w:eastAsiaTheme="majorEastAsia" w:cstheme="majorBidi"/>
          <w:b/>
          <w:bCs/>
          <w:szCs w:val="22"/>
        </w:rPr>
        <w:t xml:space="preserve">ackpot </w:t>
      </w:r>
      <w:r w:rsidR="002E38DE" w:rsidRPr="001F6363">
        <w:rPr>
          <w:rFonts w:eastAsiaTheme="majorEastAsia" w:cstheme="majorBidi"/>
          <w:b/>
          <w:bCs/>
          <w:szCs w:val="22"/>
        </w:rPr>
        <w:t>p</w:t>
      </w:r>
      <w:r w:rsidRPr="001F6363">
        <w:rPr>
          <w:rFonts w:eastAsiaTheme="majorEastAsia" w:cstheme="majorBidi"/>
          <w:b/>
          <w:bCs/>
          <w:szCs w:val="22"/>
        </w:rPr>
        <w:t>ool</w:t>
      </w:r>
    </w:p>
    <w:p w14:paraId="30DB7AD6" w14:textId="3DA0E344" w:rsidR="001E3173" w:rsidRDefault="001E3173" w:rsidP="001F6363">
      <w:pPr>
        <w:spacing w:after="120" w:line="260" w:lineRule="atLeast"/>
      </w:pPr>
      <w:r>
        <w:t xml:space="preserve">Upon retiring </w:t>
      </w:r>
      <w:r w:rsidR="008D65E9">
        <w:t>an</w:t>
      </w:r>
      <w:r>
        <w:t xml:space="preserve"> LJA, the value of the balance of the individual linked jackpot pool at point of retirement must be accounted for in the total JSPP of the venue.</w:t>
      </w:r>
    </w:p>
    <w:p w14:paraId="0F3FDFE0" w14:textId="5F034F8B" w:rsidR="001E3173" w:rsidRDefault="001E3173" w:rsidP="001F6363">
      <w:pPr>
        <w:spacing w:after="120" w:line="260" w:lineRule="atLeast"/>
      </w:pPr>
      <w:r>
        <w:t>The total balance of the individual linked jackpot pool must be accounted for in the JSPP, regardless of whether the total individual linked jackpot pool is in a positive or negative state.</w:t>
      </w:r>
    </w:p>
    <w:p w14:paraId="5E4F4F6A" w14:textId="7BB161D6" w:rsidR="001E3173" w:rsidRDefault="001E3173" w:rsidP="001F6363">
      <w:pPr>
        <w:spacing w:after="120" w:line="260" w:lineRule="atLeast"/>
      </w:pPr>
      <w:r>
        <w:t xml:space="preserve">In monitoring the expected jackpot liability due and payable, a venue operator must, at a minimum, ensure that all payments to and from a linked jackpot pool are verified, in line with the above requirements, and required documentation of jackpot pool values is maintained. </w:t>
      </w:r>
    </w:p>
    <w:p w14:paraId="285079E7" w14:textId="77777777" w:rsidR="00623330" w:rsidRDefault="001E3173" w:rsidP="00623330">
      <w:pPr>
        <w:pStyle w:val="Heading3"/>
      </w:pPr>
      <w:r>
        <w:t>A</w:t>
      </w:r>
      <w:r w:rsidR="00623330">
        <w:t>ccounting for unpaid linked jackpot prizes</w:t>
      </w:r>
    </w:p>
    <w:p w14:paraId="02B1C987" w14:textId="258B76B1" w:rsidR="001E3173" w:rsidRDefault="001E3173" w:rsidP="001F6363">
      <w:pPr>
        <w:spacing w:after="120" w:line="260" w:lineRule="atLeast"/>
      </w:pPr>
      <w:r>
        <w:t>Section 3.6.1B of the Act states that</w:t>
      </w:r>
      <w:r w:rsidR="00623330">
        <w:t xml:space="preserve"> </w:t>
      </w:r>
      <w:r>
        <w:t>if a venue operator is in possession of funds in a jackpot special prize pool that have not been paid out at the time of</w:t>
      </w:r>
      <w:r w:rsidR="00623330">
        <w:t>:</w:t>
      </w:r>
      <w:r>
        <w:t xml:space="preserve"> </w:t>
      </w:r>
    </w:p>
    <w:p w14:paraId="798CE2BB" w14:textId="090D0B10" w:rsidR="001E3173" w:rsidRDefault="001E3173" w:rsidP="001F6363">
      <w:pPr>
        <w:pStyle w:val="Bullet1"/>
        <w:spacing w:after="120" w:line="260" w:lineRule="atLeast"/>
      </w:pPr>
      <w:r>
        <w:t xml:space="preserve">the venue operator ceasing to hold a venue operator's licence </w:t>
      </w:r>
      <w:r w:rsidRPr="002E38DE">
        <w:rPr>
          <w:b/>
          <w:bCs/>
        </w:rPr>
        <w:t xml:space="preserve">or </w:t>
      </w:r>
    </w:p>
    <w:p w14:paraId="2CE323F6" w14:textId="546E10CB" w:rsidR="001E3173" w:rsidRDefault="001E3173" w:rsidP="001F6363">
      <w:pPr>
        <w:pStyle w:val="Bullet1"/>
        <w:spacing w:after="120" w:line="260" w:lineRule="atLeast"/>
      </w:pPr>
      <w:r>
        <w:t>the venue operator ceasing to hold any gaming machine entitlements</w:t>
      </w:r>
      <w:r w:rsidRPr="002E38DE">
        <w:rPr>
          <w:b/>
          <w:bCs/>
        </w:rPr>
        <w:t xml:space="preserve"> or</w:t>
      </w:r>
      <w:r>
        <w:t xml:space="preserve"> </w:t>
      </w:r>
    </w:p>
    <w:p w14:paraId="677C0FF2" w14:textId="31D5C1C3" w:rsidR="001E3173" w:rsidRDefault="001E3173" w:rsidP="001F6363">
      <w:pPr>
        <w:pStyle w:val="Bullet1"/>
        <w:spacing w:after="120" w:line="260" w:lineRule="atLeast"/>
      </w:pPr>
      <w:r>
        <w:t>the venue operator not operating jackpots for 6 months.</w:t>
      </w:r>
    </w:p>
    <w:p w14:paraId="4F6B068B" w14:textId="159B5777" w:rsidR="001E3173" w:rsidRDefault="001E3173" w:rsidP="001F6363">
      <w:pPr>
        <w:spacing w:after="120" w:line="260" w:lineRule="atLeast"/>
      </w:pPr>
      <w:r>
        <w:t>The venue operator must pay an amount equal to the funds in the jackpot special prize pool to the Treasurer for payment into the Responsible Gambling Fund under section 19 of the Victorian Responsible Gambling Foundation Act.</w:t>
      </w:r>
    </w:p>
    <w:p w14:paraId="4E7762B9" w14:textId="78BA3269" w:rsidR="001E3173" w:rsidRDefault="001E3173" w:rsidP="001F6363">
      <w:pPr>
        <w:spacing w:after="120" w:line="260" w:lineRule="atLeast"/>
      </w:pPr>
      <w:r>
        <w:t xml:space="preserve">A JSPP is the aggregate value of all linked jackpot arrangements. Therefore, in line with the requirements of section 3.6.1B of the Act, if a venue operator decides to retire a linked jackpot in circumstances provided for in section 3.6.1B of the Act, the value of the total linked jackpots in the JSPP must be paid to the Treasurer, for further payment into the RGF. </w:t>
      </w:r>
    </w:p>
    <w:p w14:paraId="2F6903BF" w14:textId="11D755BF" w:rsidR="001E3173" w:rsidRDefault="001E3173" w:rsidP="001F6363">
      <w:pPr>
        <w:spacing w:after="120" w:line="260" w:lineRule="atLeast"/>
      </w:pPr>
      <w:r>
        <w:t>For the purpose of section 3.6.1B of the Act, ‘funds in the JSPP that have not been paid out’ means the value of unpaid prizes at the cessation of the venue operator’s licence, the holding of gaming machine entitlements, or the venue operator not operating jackpots for 6 months (after the last LJA has been retired).</w:t>
      </w:r>
      <w:r w:rsidR="001F6363">
        <w:br w:type="column"/>
      </w:r>
      <w:r>
        <w:lastRenderedPageBreak/>
        <w:t>Documentation must be maintained by the venue operator detailing its adherence to the above requirements, payment of amounts to the Treasurer for further payment into the RGF, and any discrepancies that have been investigated with the monitoring licensee.</w:t>
      </w:r>
    </w:p>
    <w:p w14:paraId="19EFEA7C" w14:textId="7DEA5E30" w:rsidR="001E3173" w:rsidRDefault="001E3173" w:rsidP="001E3173">
      <w:r>
        <w:t>A venue should contact the Department of Treasury and Finance (DTF) for further details in relation to remittance of unpaid jackpot prizes.</w:t>
      </w:r>
    </w:p>
    <w:p w14:paraId="2EF55558" w14:textId="0B88106A" w:rsidR="001E3173" w:rsidRDefault="001E3173" w:rsidP="001E3173">
      <w:r>
        <w:t xml:space="preserve">The monitoring system will provide reports to assist venues in ongoing monitoring of the value of the JSPP and quantifying any unpaid amounts due and payable to remit any amounts in line with obligations under section 3.6.1B of the Act. </w:t>
      </w:r>
    </w:p>
    <w:p w14:paraId="5E3F2CE6" w14:textId="77777777" w:rsidR="005E033F" w:rsidRDefault="001E3173" w:rsidP="005E033F">
      <w:pPr>
        <w:pStyle w:val="Heading3"/>
      </w:pPr>
      <w:r>
        <w:t>M</w:t>
      </w:r>
      <w:r w:rsidR="005E033F">
        <w:t xml:space="preserve">onitoring standalone jackpot machines </w:t>
      </w:r>
    </w:p>
    <w:p w14:paraId="2534F019" w14:textId="035CB00D" w:rsidR="001E3173" w:rsidRDefault="001E3173" w:rsidP="001E3173">
      <w:r>
        <w:t>In relation to all SJMs in operation at a gaming venue, the venue operator must monitor the gaming machines to:</w:t>
      </w:r>
    </w:p>
    <w:p w14:paraId="7AEBA6FA" w14:textId="748C8633" w:rsidR="001E3173" w:rsidRDefault="001E3173" w:rsidP="005E033F">
      <w:pPr>
        <w:pStyle w:val="Bullet1"/>
      </w:pPr>
      <w:r>
        <w:t>ensuring that all SJMs are operating within their approved parameters and conditions</w:t>
      </w:r>
    </w:p>
    <w:p w14:paraId="4DC629C6" w14:textId="54BA35F8" w:rsidR="001E3173" w:rsidRDefault="001E3173" w:rsidP="005E033F">
      <w:pPr>
        <w:pStyle w:val="Bullet1"/>
      </w:pPr>
      <w:r>
        <w:t>validating the accuracy and completeness of any data reported by the monitoring system in relation to the SJMs (if available).</w:t>
      </w:r>
    </w:p>
    <w:p w14:paraId="3FD39B1B" w14:textId="2CAAF174" w:rsidR="001E3173" w:rsidRDefault="001E3173" w:rsidP="001E3173">
      <w:r>
        <w:t>Adequate supporting documentation must be maintained by the gaming venue to demonstrate adherence to the required processes regarding the monitoring of SJMs.</w:t>
      </w:r>
    </w:p>
    <w:p w14:paraId="575A31AA" w14:textId="48C141FD" w:rsidR="005E033F" w:rsidRDefault="001E3173" w:rsidP="005E033F">
      <w:pPr>
        <w:pStyle w:val="Heading3"/>
      </w:pPr>
      <w:r>
        <w:t>R</w:t>
      </w:r>
      <w:r w:rsidR="005E033F">
        <w:t xml:space="preserve">esetting </w:t>
      </w:r>
      <w:r w:rsidR="000F1F50">
        <w:t>standalone</w:t>
      </w:r>
      <w:r w:rsidR="005E033F">
        <w:t xml:space="preserve"> jackpot machines</w:t>
      </w:r>
    </w:p>
    <w:p w14:paraId="7A995E95" w14:textId="3A301C67" w:rsidR="001E3173" w:rsidRDefault="001E3173" w:rsidP="001E3173">
      <w:r>
        <w:t>A SJM must only be master reset as a last resort to restore connection to the monitoring system, correct a fault or anomaly or as part of the commissioning process.</w:t>
      </w:r>
    </w:p>
    <w:p w14:paraId="68CE6978" w14:textId="62BE667F" w:rsidR="001E3173" w:rsidRDefault="001E3173" w:rsidP="001E3173">
      <w:r>
        <w:t>If a SJM is reset, the venue must instruct the technician to:</w:t>
      </w:r>
    </w:p>
    <w:p w14:paraId="51B11DCC" w14:textId="175DEB00" w:rsidR="001E3173" w:rsidRDefault="001E3173" w:rsidP="005E033F">
      <w:pPr>
        <w:pStyle w:val="Bullet1"/>
      </w:pPr>
      <w:r>
        <w:t xml:space="preserve">reset the jackpot prize to its incremented value prior to the reset </w:t>
      </w:r>
      <w:r w:rsidRPr="005E033F">
        <w:rPr>
          <w:b/>
          <w:bCs/>
        </w:rPr>
        <w:t>or</w:t>
      </w:r>
    </w:p>
    <w:p w14:paraId="78515D6B" w14:textId="214E198B" w:rsidR="001E3173" w:rsidRDefault="001E3173" w:rsidP="005E033F">
      <w:pPr>
        <w:pStyle w:val="Bullet1"/>
      </w:pPr>
      <w:r>
        <w:t xml:space="preserve">where </w:t>
      </w:r>
      <w:r w:rsidR="005E033F">
        <w:t>the above</w:t>
      </w:r>
      <w:r>
        <w:t xml:space="preserve"> is not possible due to the machine type, reset the jackpot prize to values nearest to the jackpot prize prior to the reset.</w:t>
      </w:r>
    </w:p>
    <w:p w14:paraId="2C80827D" w14:textId="4F5EFD38" w:rsidR="001E3173" w:rsidRDefault="000F4297" w:rsidP="001E3173">
      <w:r>
        <w:rPr>
          <w:lang w:val="en-AU"/>
        </w:rPr>
        <w:br w:type="column"/>
      </w:r>
      <w:r w:rsidR="001E3173">
        <w:t>A venue operator must clearly account for its management of any standalone jackpot prizes upon removal/resetting of SJMs.</w:t>
      </w:r>
    </w:p>
    <w:p w14:paraId="28FE7C82" w14:textId="77777777" w:rsidR="005E033F" w:rsidRDefault="001E3173" w:rsidP="005E033F">
      <w:pPr>
        <w:pStyle w:val="Heading3"/>
      </w:pPr>
      <w:r>
        <w:t>R</w:t>
      </w:r>
      <w:r w:rsidR="005E033F">
        <w:t>etiring standalone jackpot machines</w:t>
      </w:r>
    </w:p>
    <w:p w14:paraId="0E23CD38" w14:textId="77777777" w:rsidR="001E3173" w:rsidRDefault="001E3173" w:rsidP="001E3173">
      <w:r>
        <w:t>When retiring an SJM, the value of the standalone jackpot prize must be:</w:t>
      </w:r>
    </w:p>
    <w:p w14:paraId="0E849CD0" w14:textId="60A6442F" w:rsidR="001E3173" w:rsidRDefault="001E3173" w:rsidP="005E033F">
      <w:pPr>
        <w:pStyle w:val="Bullet1"/>
      </w:pPr>
      <w:r>
        <w:t xml:space="preserve">transferred to another standalone jackpot prize on an SJM within the gaming venue; </w:t>
      </w:r>
      <w:r w:rsidR="005E033F" w:rsidRPr="005E033F">
        <w:rPr>
          <w:b/>
          <w:bCs/>
        </w:rPr>
        <w:t>or</w:t>
      </w:r>
    </w:p>
    <w:p w14:paraId="2D857A44" w14:textId="615E0B11" w:rsidR="001E3173" w:rsidRDefault="001E3173" w:rsidP="005E033F">
      <w:pPr>
        <w:pStyle w:val="Bullet1"/>
      </w:pPr>
      <w:r>
        <w:t>if there is no SJM at the time of the retirement, the standalone jackpot prize must be transferred if another SJM is installed in the venue after the retirement.</w:t>
      </w:r>
    </w:p>
    <w:p w14:paraId="2899A32F" w14:textId="57556B2E" w:rsidR="001E3173" w:rsidRDefault="001E3173" w:rsidP="001E3173">
      <w:r>
        <w:t>The venue operator must retain accurate records showing the management of standalone jackpot prizes at the venue, and amounts transferred upon retirement of the jackpots. These records must be available to the Commission upon request and may be audited to ensure all amounts are accounted for as required.</w:t>
      </w:r>
    </w:p>
    <w:p w14:paraId="4E84C556" w14:textId="09ECAA7E" w:rsidR="001E3173" w:rsidRDefault="001E3173" w:rsidP="001E3173">
      <w:r>
        <w:t>The monitoring licensee will facilitate the retiring and transfer of standalone jackpot prizes. The Commission will monitor the retiring of jackpots and ensure adherence to this requirement.</w:t>
      </w:r>
    </w:p>
    <w:p w14:paraId="09B9EE94" w14:textId="77777777" w:rsidR="005E033F" w:rsidRDefault="001E3173" w:rsidP="005E033F">
      <w:pPr>
        <w:pStyle w:val="Heading3"/>
      </w:pPr>
      <w:r>
        <w:t>A</w:t>
      </w:r>
      <w:r w:rsidR="005E033F">
        <w:t>ccounting for standalone jackpot machines</w:t>
      </w:r>
    </w:p>
    <w:p w14:paraId="14DCE7F4" w14:textId="65E8E3E8" w:rsidR="002E38DE" w:rsidRDefault="001E3173" w:rsidP="0081733D">
      <w:r>
        <w:t>The venue must initiate processes to ensure adequate funds are available to pay standalone jackpot prizes. Documentation should be maintained to provide evidence of meeting this requirement.</w:t>
      </w:r>
      <w:bookmarkEnd w:id="7"/>
      <w:bookmarkEnd w:id="8"/>
      <w:r w:rsidR="002E38DE">
        <w:br w:type="page"/>
      </w:r>
    </w:p>
    <w:p w14:paraId="327C30C5" w14:textId="77777777" w:rsidR="002453AF" w:rsidRPr="002E38DE" w:rsidRDefault="002453AF" w:rsidP="002E38DE">
      <w:pPr>
        <w:spacing w:after="0" w:line="240" w:lineRule="auto"/>
        <w:rPr>
          <w:sz w:val="2"/>
          <w:szCs w:val="2"/>
        </w:rPr>
      </w:pPr>
    </w:p>
    <w:p w14:paraId="297F7A94" w14:textId="77777777" w:rsidR="005E033F" w:rsidRDefault="005E033F" w:rsidP="0081733D">
      <w:pPr>
        <w:rPr>
          <w:lang w:val="en-AU"/>
        </w:rPr>
        <w:sectPr w:rsidR="005E033F" w:rsidSect="005E033F">
          <w:type w:val="continuous"/>
          <w:pgSz w:w="11900" w:h="16840"/>
          <w:pgMar w:top="1418" w:right="851" w:bottom="1814" w:left="851" w:header="709" w:footer="567" w:gutter="0"/>
          <w:cols w:num="2" w:space="720"/>
          <w:titlePg/>
          <w:docGrid w:linePitch="360"/>
        </w:sectPr>
      </w:pPr>
    </w:p>
    <w:p w14:paraId="153245A6" w14:textId="24D959E0" w:rsidR="002E38DE" w:rsidRPr="002E38DE" w:rsidRDefault="000F4297" w:rsidP="000F4297">
      <w:pPr>
        <w:pStyle w:val="Heading1"/>
        <w:numPr>
          <w:ilvl w:val="0"/>
          <w:numId w:val="0"/>
        </w:numPr>
        <w:ind w:left="720" w:hanging="720"/>
      </w:pPr>
      <w:bookmarkStart w:id="25" w:name="_Toc114465562"/>
      <w:r>
        <w:t xml:space="preserve">3. </w:t>
      </w:r>
      <w:r w:rsidR="002E38DE" w:rsidRPr="002E38DE">
        <w:t>G</w:t>
      </w:r>
      <w:r w:rsidR="002E38DE">
        <w:t>aming taxes</w:t>
      </w:r>
      <w:bookmarkEnd w:id="25"/>
    </w:p>
    <w:p w14:paraId="549C5F68" w14:textId="77777777" w:rsidR="00071BAC" w:rsidRDefault="00071BAC" w:rsidP="00693ABB">
      <w:pPr>
        <w:pStyle w:val="Heading2"/>
        <w:numPr>
          <w:ilvl w:val="1"/>
          <w:numId w:val="31"/>
        </w:numPr>
        <w:rPr>
          <w:lang w:val="en-AU"/>
        </w:rPr>
        <w:sectPr w:rsidR="00071BAC" w:rsidSect="001E3173">
          <w:type w:val="continuous"/>
          <w:pgSz w:w="11900" w:h="16840"/>
          <w:pgMar w:top="1418" w:right="851" w:bottom="1814" w:left="851" w:header="709" w:footer="567" w:gutter="0"/>
          <w:cols w:space="720"/>
          <w:titlePg/>
          <w:docGrid w:linePitch="360"/>
        </w:sectPr>
      </w:pPr>
    </w:p>
    <w:p w14:paraId="646E11A5" w14:textId="1F15942E" w:rsidR="002E38DE" w:rsidRDefault="000F4297" w:rsidP="000F4297">
      <w:pPr>
        <w:pStyle w:val="Heading2"/>
        <w:numPr>
          <w:ilvl w:val="0"/>
          <w:numId w:val="0"/>
        </w:numPr>
        <w:rPr>
          <w:lang w:val="en-AU"/>
        </w:rPr>
      </w:pPr>
      <w:bookmarkStart w:id="26" w:name="_Toc114465563"/>
      <w:r>
        <w:rPr>
          <w:lang w:val="en-AU"/>
        </w:rPr>
        <w:t xml:space="preserve">3.1 </w:t>
      </w:r>
      <w:r w:rsidR="002E38DE" w:rsidRPr="002E38DE">
        <w:rPr>
          <w:lang w:val="en-AU"/>
        </w:rPr>
        <w:t>C</w:t>
      </w:r>
      <w:r w:rsidR="002E38DE">
        <w:rPr>
          <w:lang w:val="en-AU"/>
        </w:rPr>
        <w:t>alculation of gaming tax</w:t>
      </w:r>
      <w:bookmarkEnd w:id="26"/>
    </w:p>
    <w:p w14:paraId="5B52E76A" w14:textId="10CF4AA8" w:rsidR="002E38DE" w:rsidRPr="002E38DE" w:rsidRDefault="002E38DE" w:rsidP="002E38DE">
      <w:pPr>
        <w:rPr>
          <w:lang w:val="en-AU"/>
        </w:rPr>
      </w:pPr>
      <w:r w:rsidRPr="002E38DE">
        <w:rPr>
          <w:lang w:val="en-AU"/>
        </w:rPr>
        <w:t xml:space="preserve">A venue operator is responsible for remitting gaming taxes </w:t>
      </w:r>
      <w:proofErr w:type="gramStart"/>
      <w:r w:rsidRPr="002E38DE">
        <w:rPr>
          <w:lang w:val="en-AU"/>
        </w:rPr>
        <w:t>on a monthly basis</w:t>
      </w:r>
      <w:proofErr w:type="gramEnd"/>
      <w:r w:rsidRPr="002E38DE">
        <w:rPr>
          <w:lang w:val="en-AU"/>
        </w:rPr>
        <w:t xml:space="preserve"> to the Commission.</w:t>
      </w:r>
    </w:p>
    <w:p w14:paraId="7AD84A35" w14:textId="1B290C73" w:rsidR="002E38DE" w:rsidRPr="002E38DE" w:rsidRDefault="002E38DE" w:rsidP="002E38DE">
      <w:pPr>
        <w:rPr>
          <w:lang w:val="en-AU"/>
        </w:rPr>
      </w:pPr>
      <w:r w:rsidRPr="002E38DE">
        <w:rPr>
          <w:lang w:val="en-AU"/>
        </w:rPr>
        <w:t xml:space="preserve">The Commission will perform a direct sweep of gaming taxes </w:t>
      </w:r>
      <w:proofErr w:type="gramStart"/>
      <w:r w:rsidRPr="002E38DE">
        <w:rPr>
          <w:lang w:val="en-AU"/>
        </w:rPr>
        <w:t>on a monthly basis</w:t>
      </w:r>
      <w:proofErr w:type="gramEnd"/>
      <w:r w:rsidRPr="002E38DE">
        <w:rPr>
          <w:lang w:val="en-AU"/>
        </w:rPr>
        <w:t xml:space="preserve"> from the venue’s nominated gaming bank account.</w:t>
      </w:r>
    </w:p>
    <w:p w14:paraId="64225633" w14:textId="07C02F58" w:rsidR="002E38DE" w:rsidRPr="002E38DE" w:rsidRDefault="002E38DE" w:rsidP="002E38DE">
      <w:pPr>
        <w:rPr>
          <w:lang w:val="en-AU"/>
        </w:rPr>
      </w:pPr>
      <w:r w:rsidRPr="002E38DE">
        <w:rPr>
          <w:lang w:val="en-AU"/>
        </w:rPr>
        <w:t>Sections 3.6.6C of the Act provide details of the relevant tax calculation applicable to pubs and clubs respectively.</w:t>
      </w:r>
    </w:p>
    <w:p w14:paraId="38CC0AA5" w14:textId="2FC63465" w:rsidR="002E38DE" w:rsidRDefault="002E38DE" w:rsidP="002E38DE">
      <w:pPr>
        <w:rPr>
          <w:lang w:val="en-AU"/>
        </w:rPr>
      </w:pPr>
      <w:r w:rsidRPr="002E38DE">
        <w:rPr>
          <w:lang w:val="en-AU"/>
        </w:rPr>
        <w:t>The venue operator must pay to the Commission the monthly gaming tax calculated as follows:</w:t>
      </w:r>
    </w:p>
    <w:tbl>
      <w:tblPr>
        <w:tblStyle w:val="TableGrid"/>
        <w:tblW w:w="0" w:type="auto"/>
        <w:tblLook w:val="04A0" w:firstRow="1" w:lastRow="0" w:firstColumn="1" w:lastColumn="0" w:noHBand="0" w:noVBand="1"/>
      </w:tblPr>
      <w:tblGrid>
        <w:gridCol w:w="4739"/>
      </w:tblGrid>
      <w:tr w:rsidR="002E38DE" w14:paraId="168E4796" w14:textId="77777777" w:rsidTr="002E38D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98" w:type="dxa"/>
          </w:tcPr>
          <w:p w14:paraId="4DDC46A0" w14:textId="32DFC694" w:rsidR="002E38DE" w:rsidRDefault="002E38DE" w:rsidP="002B0C2F">
            <w:pPr>
              <w:pStyle w:val="TableHeader"/>
              <w:jc w:val="center"/>
            </w:pPr>
            <w:r w:rsidRPr="002E38DE">
              <w:t>T = GMT x E</w:t>
            </w:r>
          </w:p>
        </w:tc>
      </w:tr>
      <w:tr w:rsidR="002E38DE" w14:paraId="6B23B89B" w14:textId="77777777" w:rsidTr="002E38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98" w:type="dxa"/>
          </w:tcPr>
          <w:p w14:paraId="22592A41" w14:textId="32B9705A" w:rsidR="002E38DE" w:rsidRPr="002E38DE" w:rsidRDefault="002E38DE" w:rsidP="002E38DE">
            <w:pPr>
              <w:pStyle w:val="TableText"/>
            </w:pPr>
            <w:r w:rsidRPr="002E38DE">
              <w:t>T</w:t>
            </w:r>
            <w:r w:rsidR="002B0C2F">
              <w:t xml:space="preserve"> = </w:t>
            </w:r>
            <w:r w:rsidRPr="002E38DE">
              <w:t>tax payable for a calendar month</w:t>
            </w:r>
          </w:p>
          <w:p w14:paraId="51B6BEC7" w14:textId="76613883" w:rsidR="002E38DE" w:rsidRPr="002E38DE" w:rsidRDefault="002E38DE" w:rsidP="002E38DE">
            <w:pPr>
              <w:pStyle w:val="TableText"/>
            </w:pPr>
            <w:r w:rsidRPr="002E38DE">
              <w:t>GMT</w:t>
            </w:r>
            <w:r w:rsidR="002B0C2F">
              <w:t xml:space="preserve"> = </w:t>
            </w:r>
            <w:r w:rsidRPr="002E38DE">
              <w:t>tax per gaming machine entitlement</w:t>
            </w:r>
          </w:p>
          <w:p w14:paraId="6B5D08B3" w14:textId="29BEDA67" w:rsidR="002E38DE" w:rsidRDefault="002E38DE" w:rsidP="002E38DE">
            <w:pPr>
              <w:pStyle w:val="TableText"/>
            </w:pPr>
            <w:r w:rsidRPr="002E38DE">
              <w:t>E</w:t>
            </w:r>
            <w:r w:rsidR="002B0C2F">
              <w:t xml:space="preserve"> = </w:t>
            </w:r>
            <w:r w:rsidRPr="002E38DE">
              <w:t>average number of gaming machine entitlements held by the venue operator during the month</w:t>
            </w:r>
          </w:p>
        </w:tc>
      </w:tr>
    </w:tbl>
    <w:p w14:paraId="362446AC" w14:textId="1DEDF288" w:rsidR="002E38DE" w:rsidRPr="002E38DE" w:rsidRDefault="002E38DE" w:rsidP="002E38DE">
      <w:pPr>
        <w:spacing w:before="120"/>
        <w:rPr>
          <w:lang w:val="en-AU"/>
        </w:rPr>
      </w:pPr>
      <w:r w:rsidRPr="002E38DE">
        <w:rPr>
          <w:lang w:val="en-AU"/>
        </w:rPr>
        <w:t>Further to the above table, the following should also be noted:</w:t>
      </w:r>
    </w:p>
    <w:p w14:paraId="3704C398" w14:textId="11756938" w:rsidR="002E38DE" w:rsidRPr="002E38DE" w:rsidRDefault="002E38DE" w:rsidP="002E38DE">
      <w:pPr>
        <w:pStyle w:val="Bullet1"/>
      </w:pPr>
      <w:r w:rsidRPr="002E38DE">
        <w:t>Average number of gaming machine entitlements = Total gaming machine entitlements held at the venue for each day of the calendar month ÷ Number of days in that month</w:t>
      </w:r>
      <w:r>
        <w:t>.</w:t>
      </w:r>
    </w:p>
    <w:p w14:paraId="733ED8C4" w14:textId="5163AE63" w:rsidR="002E38DE" w:rsidRPr="002E38DE" w:rsidRDefault="002E38DE" w:rsidP="002E38DE">
      <w:pPr>
        <w:pStyle w:val="Bullet1"/>
      </w:pPr>
      <w:r w:rsidRPr="002E38DE">
        <w:t>Average revenue per gaming machine entitlement = Total revenue earned at the venue during the month ÷ Average number of gaming machine entitlements</w:t>
      </w:r>
      <w:r>
        <w:t>.</w:t>
      </w:r>
    </w:p>
    <w:p w14:paraId="062E904D" w14:textId="7825EA4C" w:rsidR="002E38DE" w:rsidRPr="002E38DE" w:rsidRDefault="002E38DE" w:rsidP="002E38DE">
      <w:pPr>
        <w:pStyle w:val="Bullet1"/>
      </w:pPr>
      <w:r w:rsidRPr="002E38DE">
        <w:t>Tax per gaming machine entitlement = Average revenue per gaming machine entitlement x Applicable tax rate</w:t>
      </w:r>
      <w:r>
        <w:t>.</w:t>
      </w:r>
    </w:p>
    <w:p w14:paraId="4D73FE35" w14:textId="6BCEC071" w:rsidR="002E38DE" w:rsidRDefault="00071BAC" w:rsidP="000F4297">
      <w:pPr>
        <w:pStyle w:val="Heading2"/>
        <w:numPr>
          <w:ilvl w:val="0"/>
          <w:numId w:val="0"/>
        </w:numPr>
        <w:ind w:left="576" w:hanging="576"/>
        <w:rPr>
          <w:lang w:val="en-AU"/>
        </w:rPr>
      </w:pPr>
      <w:r>
        <w:rPr>
          <w:lang w:val="en-AU"/>
        </w:rPr>
        <w:br w:type="column"/>
      </w:r>
      <w:bookmarkStart w:id="27" w:name="_Toc114465564"/>
      <w:r w:rsidR="000F4297">
        <w:rPr>
          <w:lang w:val="en-AU"/>
        </w:rPr>
        <w:t xml:space="preserve">3.2 </w:t>
      </w:r>
      <w:r w:rsidR="002E38DE" w:rsidRPr="002E38DE">
        <w:rPr>
          <w:lang w:val="en-AU"/>
        </w:rPr>
        <w:t>C</w:t>
      </w:r>
      <w:r w:rsidR="002E38DE">
        <w:rPr>
          <w:lang w:val="en-AU"/>
        </w:rPr>
        <w:t>omponents of the tax calculation</w:t>
      </w:r>
      <w:bookmarkEnd w:id="27"/>
    </w:p>
    <w:p w14:paraId="2CC15052" w14:textId="0E7879E3" w:rsidR="002E38DE" w:rsidRPr="002E38DE" w:rsidRDefault="002E38DE" w:rsidP="002E38DE">
      <w:pPr>
        <w:pStyle w:val="Heading3"/>
        <w:rPr>
          <w:lang w:val="en-AU"/>
        </w:rPr>
      </w:pPr>
      <w:r w:rsidRPr="002E38DE">
        <w:rPr>
          <w:lang w:val="en-AU"/>
        </w:rPr>
        <w:t xml:space="preserve">Net </w:t>
      </w:r>
      <w:r>
        <w:rPr>
          <w:lang w:val="en-AU"/>
        </w:rPr>
        <w:t>c</w:t>
      </w:r>
      <w:r w:rsidRPr="002E38DE">
        <w:rPr>
          <w:lang w:val="en-AU"/>
        </w:rPr>
        <w:t xml:space="preserve">ash </w:t>
      </w:r>
      <w:r>
        <w:rPr>
          <w:lang w:val="en-AU"/>
        </w:rPr>
        <w:t>b</w:t>
      </w:r>
      <w:r w:rsidRPr="002E38DE">
        <w:rPr>
          <w:lang w:val="en-AU"/>
        </w:rPr>
        <w:t>alance</w:t>
      </w:r>
    </w:p>
    <w:p w14:paraId="3AC373FD" w14:textId="53FFC65B" w:rsidR="002E38DE" w:rsidRPr="002E38DE" w:rsidRDefault="002E38DE" w:rsidP="002E38DE">
      <w:pPr>
        <w:rPr>
          <w:lang w:val="en-AU"/>
        </w:rPr>
      </w:pPr>
      <w:r w:rsidRPr="002E38DE">
        <w:rPr>
          <w:lang w:val="en-AU"/>
        </w:rPr>
        <w:t xml:space="preserve">Net </w:t>
      </w:r>
      <w:r>
        <w:rPr>
          <w:lang w:val="en-AU"/>
        </w:rPr>
        <w:t>c</w:t>
      </w:r>
      <w:r w:rsidRPr="002E38DE">
        <w:rPr>
          <w:lang w:val="en-AU"/>
        </w:rPr>
        <w:t xml:space="preserve">ash </w:t>
      </w:r>
      <w:r>
        <w:rPr>
          <w:lang w:val="en-AU"/>
        </w:rPr>
        <w:t>b</w:t>
      </w:r>
      <w:r w:rsidRPr="002E38DE">
        <w:rPr>
          <w:lang w:val="en-AU"/>
        </w:rPr>
        <w:t>alance is calculated as follows:</w:t>
      </w:r>
    </w:p>
    <w:p w14:paraId="40228DDB" w14:textId="26D101A4" w:rsidR="002E38DE" w:rsidRPr="002E38DE" w:rsidRDefault="002E38DE" w:rsidP="002B0C2F">
      <w:pPr>
        <w:pStyle w:val="Bullet1"/>
      </w:pPr>
      <w:r w:rsidRPr="002E38DE">
        <w:t xml:space="preserve">Net </w:t>
      </w:r>
      <w:r w:rsidR="002B0C2F">
        <w:t>c</w:t>
      </w:r>
      <w:r w:rsidRPr="002E38DE">
        <w:t xml:space="preserve">ash </w:t>
      </w:r>
      <w:r w:rsidR="002B0C2F">
        <w:t>b</w:t>
      </w:r>
      <w:r w:rsidRPr="002E38DE">
        <w:t>alance = Turnover - Credits won - Jackpot contributions</w:t>
      </w:r>
      <w:r w:rsidR="002B0C2F">
        <w:t>.</w:t>
      </w:r>
    </w:p>
    <w:p w14:paraId="52157150" w14:textId="3B38C76C" w:rsidR="002E38DE" w:rsidRPr="002E38DE" w:rsidRDefault="002E38DE" w:rsidP="002B0C2F">
      <w:pPr>
        <w:pStyle w:val="Bullet1"/>
      </w:pPr>
      <w:r w:rsidRPr="002E38DE">
        <w:t>Turnover = Value of bets placed on a gaming machine</w:t>
      </w:r>
      <w:r w:rsidR="002B0C2F">
        <w:t>.</w:t>
      </w:r>
    </w:p>
    <w:p w14:paraId="3A051D8A" w14:textId="0C4741B8" w:rsidR="002E38DE" w:rsidRPr="002E38DE" w:rsidRDefault="002E38DE" w:rsidP="002B0C2F">
      <w:pPr>
        <w:pStyle w:val="Bullet1"/>
      </w:pPr>
      <w:r w:rsidRPr="002E38DE">
        <w:t>Credits won = Amounts returned to players as prizes</w:t>
      </w:r>
      <w:r w:rsidR="002B0C2F">
        <w:t>.</w:t>
      </w:r>
    </w:p>
    <w:p w14:paraId="64C9154E" w14:textId="24B0EE43" w:rsidR="002E38DE" w:rsidRPr="002E38DE" w:rsidRDefault="002E38DE" w:rsidP="002B0C2F">
      <w:pPr>
        <w:pStyle w:val="Bullet1"/>
      </w:pPr>
      <w:r w:rsidRPr="002E38DE">
        <w:t>Jackpot contributions</w:t>
      </w:r>
      <w:r w:rsidR="002B0C2F">
        <w:t xml:space="preserve"> </w:t>
      </w:r>
      <w:r w:rsidRPr="002E38DE">
        <w:t>= Amounts contributed to a jackpot special prize pool to be paid as jackpot special prizes</w:t>
      </w:r>
      <w:r w:rsidR="002B0C2F">
        <w:t>.</w:t>
      </w:r>
    </w:p>
    <w:p w14:paraId="5A12A10D" w14:textId="4B2EB684" w:rsidR="002E38DE" w:rsidRPr="002E38DE" w:rsidRDefault="002E38DE" w:rsidP="002B0C2F">
      <w:pPr>
        <w:pStyle w:val="Heading3"/>
        <w:rPr>
          <w:lang w:val="en-AU"/>
        </w:rPr>
      </w:pPr>
      <w:r w:rsidRPr="002E38DE">
        <w:rPr>
          <w:lang w:val="en-AU"/>
        </w:rPr>
        <w:t>Entitlements for taxation purposes</w:t>
      </w:r>
    </w:p>
    <w:p w14:paraId="3C811161" w14:textId="12FFE773" w:rsidR="002E38DE" w:rsidRPr="002E38DE" w:rsidRDefault="002E38DE" w:rsidP="002E38DE">
      <w:pPr>
        <w:rPr>
          <w:lang w:val="en-AU"/>
        </w:rPr>
      </w:pPr>
      <w:r w:rsidRPr="002E38DE">
        <w:rPr>
          <w:lang w:val="en-AU"/>
        </w:rPr>
        <w:t>An entitlement for the purposes of gaming taxation is an entitlement that is attached to:</w:t>
      </w:r>
    </w:p>
    <w:p w14:paraId="3E84854A" w14:textId="0C89BFE9" w:rsidR="002E38DE" w:rsidRPr="002E38DE" w:rsidRDefault="002E38DE" w:rsidP="002B0C2F">
      <w:pPr>
        <w:pStyle w:val="Bullet1"/>
      </w:pPr>
      <w:r w:rsidRPr="002E38DE">
        <w:t>a gaming machine</w:t>
      </w:r>
    </w:p>
    <w:p w14:paraId="7CFA338F" w14:textId="77FEE72D" w:rsidR="002E38DE" w:rsidRPr="002E38DE" w:rsidRDefault="002E38DE" w:rsidP="002B0C2F">
      <w:pPr>
        <w:pStyle w:val="Bullet1"/>
      </w:pPr>
      <w:r w:rsidRPr="002E38DE">
        <w:t>a venue approval</w:t>
      </w:r>
    </w:p>
    <w:p w14:paraId="74E28EDD" w14:textId="16D5118B" w:rsidR="002E38DE" w:rsidRPr="002E38DE" w:rsidRDefault="002E38DE" w:rsidP="002B0C2F">
      <w:pPr>
        <w:pStyle w:val="Bullet1"/>
      </w:pPr>
      <w:r w:rsidRPr="002E38DE">
        <w:t>the monitoring system of the monitoring licensee.</w:t>
      </w:r>
    </w:p>
    <w:p w14:paraId="4E3CCEE2" w14:textId="1988AEB1" w:rsidR="002E38DE" w:rsidRPr="002E38DE" w:rsidRDefault="002E38DE" w:rsidP="002E38DE">
      <w:pPr>
        <w:rPr>
          <w:lang w:val="en-AU"/>
        </w:rPr>
      </w:pPr>
      <w:r w:rsidRPr="002E38DE">
        <w:rPr>
          <w:lang w:val="en-AU"/>
        </w:rPr>
        <w:t xml:space="preserve">Therefore, </w:t>
      </w:r>
      <w:proofErr w:type="gramStart"/>
      <w:r w:rsidRPr="002E38DE">
        <w:rPr>
          <w:lang w:val="en-AU"/>
        </w:rPr>
        <w:t>in order for</w:t>
      </w:r>
      <w:proofErr w:type="gramEnd"/>
      <w:r w:rsidRPr="002E38DE">
        <w:rPr>
          <w:lang w:val="en-AU"/>
        </w:rPr>
        <w:t xml:space="preserve"> an entitlement to be used for taxation as an entitlement under which gaming is or may be conducted, each of the three criteria identified above must be evident.</w:t>
      </w:r>
    </w:p>
    <w:p w14:paraId="6F15BD7C" w14:textId="557F8E73" w:rsidR="002E38DE" w:rsidRPr="002E38DE" w:rsidRDefault="002E38DE" w:rsidP="002E38DE">
      <w:pPr>
        <w:rPr>
          <w:lang w:val="en-AU"/>
        </w:rPr>
      </w:pPr>
      <w:r w:rsidRPr="002E38DE">
        <w:rPr>
          <w:lang w:val="en-AU"/>
        </w:rPr>
        <w:t>Section 3.3 of these requirements provides examples of the tax calculation that outline the application of this section.</w:t>
      </w:r>
    </w:p>
    <w:p w14:paraId="6DB24A22" w14:textId="58E27F52" w:rsidR="002E38DE" w:rsidRPr="002E38DE" w:rsidRDefault="00071BAC" w:rsidP="002B0C2F">
      <w:pPr>
        <w:pStyle w:val="Heading3"/>
        <w:rPr>
          <w:lang w:val="en-AU"/>
        </w:rPr>
      </w:pPr>
      <w:r>
        <w:rPr>
          <w:lang w:val="en-AU"/>
        </w:rPr>
        <w:br w:type="column"/>
      </w:r>
      <w:r w:rsidR="002E38DE" w:rsidRPr="002E38DE">
        <w:rPr>
          <w:lang w:val="en-AU"/>
        </w:rPr>
        <w:lastRenderedPageBreak/>
        <w:t xml:space="preserve">Average </w:t>
      </w:r>
      <w:r w:rsidR="002B0C2F">
        <w:rPr>
          <w:lang w:val="en-AU"/>
        </w:rPr>
        <w:t>n</w:t>
      </w:r>
      <w:r w:rsidR="002E38DE" w:rsidRPr="002E38DE">
        <w:rPr>
          <w:lang w:val="en-AU"/>
        </w:rPr>
        <w:t xml:space="preserve">umber of </w:t>
      </w:r>
      <w:r w:rsidR="002B0C2F">
        <w:rPr>
          <w:lang w:val="en-AU"/>
        </w:rPr>
        <w:t>g</w:t>
      </w:r>
      <w:r w:rsidR="002E38DE" w:rsidRPr="002E38DE">
        <w:rPr>
          <w:lang w:val="en-AU"/>
        </w:rPr>
        <w:t xml:space="preserve">aming </w:t>
      </w:r>
      <w:r w:rsidR="002B0C2F">
        <w:rPr>
          <w:lang w:val="en-AU"/>
        </w:rPr>
        <w:t>m</w:t>
      </w:r>
      <w:r w:rsidR="002E38DE" w:rsidRPr="002E38DE">
        <w:rPr>
          <w:lang w:val="en-AU"/>
        </w:rPr>
        <w:t xml:space="preserve">achine </w:t>
      </w:r>
      <w:r w:rsidR="002B0C2F">
        <w:rPr>
          <w:lang w:val="en-AU"/>
        </w:rPr>
        <w:t>e</w:t>
      </w:r>
      <w:r w:rsidR="002E38DE" w:rsidRPr="002E38DE">
        <w:rPr>
          <w:lang w:val="en-AU"/>
        </w:rPr>
        <w:t>ntitlements</w:t>
      </w:r>
    </w:p>
    <w:p w14:paraId="17F70A81" w14:textId="7443A011" w:rsidR="002E38DE" w:rsidRPr="002E38DE" w:rsidRDefault="002E38DE" w:rsidP="002E38DE">
      <w:pPr>
        <w:rPr>
          <w:lang w:val="en-AU"/>
        </w:rPr>
      </w:pPr>
      <w:r w:rsidRPr="002E38DE">
        <w:rPr>
          <w:lang w:val="en-AU"/>
        </w:rPr>
        <w:t xml:space="preserve">The average number of gaming machine entitlements means the sum of the total number of gaming machine entitlements under which gaming is, or may be, conducted at the approved venue on each day of a calendar month divided by the number of days in that month. </w:t>
      </w:r>
    </w:p>
    <w:p w14:paraId="63BAF571" w14:textId="00035C3E" w:rsidR="002E38DE" w:rsidRPr="002E38DE" w:rsidRDefault="002E38DE" w:rsidP="002E38DE">
      <w:pPr>
        <w:rPr>
          <w:lang w:val="en-AU"/>
        </w:rPr>
      </w:pPr>
      <w:r w:rsidRPr="002E38DE">
        <w:rPr>
          <w:lang w:val="en-AU"/>
        </w:rPr>
        <w:t xml:space="preserve">The number of days in the calendar month will always be applied to the taxation calculation for all venues, other than the initial month and the concluding month of the gaming licence. In these months, the tax calculation will only be applied to the number of days under which the calculation applies, </w:t>
      </w:r>
      <w:r w:rsidR="008D65E9" w:rsidRPr="002E38DE">
        <w:rPr>
          <w:lang w:val="en-AU"/>
        </w:rPr>
        <w:t>i.e.,</w:t>
      </w:r>
      <w:r w:rsidRPr="002E38DE">
        <w:rPr>
          <w:lang w:val="en-AU"/>
        </w:rPr>
        <w:t xml:space="preserve"> for a partial month of gaming trade; the tax calculation will be applied to the number of days in the month under which gaming was conducted at the approved venue.</w:t>
      </w:r>
    </w:p>
    <w:p w14:paraId="0591C57F" w14:textId="0ED3BC3F" w:rsidR="002E38DE" w:rsidRPr="002E38DE" w:rsidRDefault="002E38DE" w:rsidP="002E38DE">
      <w:pPr>
        <w:rPr>
          <w:lang w:val="en-AU"/>
        </w:rPr>
      </w:pPr>
      <w:r w:rsidRPr="002E38DE">
        <w:rPr>
          <w:lang w:val="en-AU"/>
        </w:rPr>
        <w:t>If the amount results in a total number that is not a whole number, the total number will be rounded up to the next 2 decimal places.</w:t>
      </w:r>
    </w:p>
    <w:p w14:paraId="2526AB24" w14:textId="134F4016" w:rsidR="002E38DE" w:rsidRPr="002E38DE" w:rsidRDefault="00071BAC" w:rsidP="002B0C2F">
      <w:pPr>
        <w:pStyle w:val="Heading3"/>
        <w:rPr>
          <w:lang w:val="en-AU"/>
        </w:rPr>
      </w:pPr>
      <w:r>
        <w:rPr>
          <w:lang w:val="en-AU"/>
        </w:rPr>
        <w:br w:type="column"/>
      </w:r>
      <w:r w:rsidR="002E38DE" w:rsidRPr="002E38DE">
        <w:rPr>
          <w:lang w:val="en-AU"/>
        </w:rPr>
        <w:t xml:space="preserve">Average </w:t>
      </w:r>
      <w:r w:rsidR="002B0C2F">
        <w:rPr>
          <w:lang w:val="en-AU"/>
        </w:rPr>
        <w:t>r</w:t>
      </w:r>
      <w:r w:rsidR="002E38DE" w:rsidRPr="002E38DE">
        <w:rPr>
          <w:lang w:val="en-AU"/>
        </w:rPr>
        <w:t xml:space="preserve">evenue per </w:t>
      </w:r>
      <w:r w:rsidR="002B0C2F">
        <w:rPr>
          <w:lang w:val="en-AU"/>
        </w:rPr>
        <w:t>g</w:t>
      </w:r>
      <w:r w:rsidR="002E38DE" w:rsidRPr="002E38DE">
        <w:rPr>
          <w:lang w:val="en-AU"/>
        </w:rPr>
        <w:t xml:space="preserve">aming </w:t>
      </w:r>
      <w:r w:rsidR="002B0C2F">
        <w:rPr>
          <w:lang w:val="en-AU"/>
        </w:rPr>
        <w:t>m</w:t>
      </w:r>
      <w:r w:rsidR="002E38DE" w:rsidRPr="002E38DE">
        <w:rPr>
          <w:lang w:val="en-AU"/>
        </w:rPr>
        <w:t xml:space="preserve">achine </w:t>
      </w:r>
      <w:r w:rsidR="002B0C2F">
        <w:rPr>
          <w:lang w:val="en-AU"/>
        </w:rPr>
        <w:t>e</w:t>
      </w:r>
      <w:r w:rsidR="002E38DE" w:rsidRPr="002E38DE">
        <w:rPr>
          <w:lang w:val="en-AU"/>
        </w:rPr>
        <w:t>ntitlement</w:t>
      </w:r>
    </w:p>
    <w:p w14:paraId="6D1991AB" w14:textId="122940D5" w:rsidR="002E38DE" w:rsidRPr="002E38DE" w:rsidRDefault="002E38DE" w:rsidP="002E38DE">
      <w:pPr>
        <w:rPr>
          <w:lang w:val="en-AU"/>
        </w:rPr>
      </w:pPr>
      <w:r w:rsidRPr="002E38DE">
        <w:rPr>
          <w:lang w:val="en-AU"/>
        </w:rPr>
        <w:t>The average revenue per gaming machine entitlement means revenue earned by a venue operator in a calendar month under the gaming machine entitlements, calculated on the following basis:</w:t>
      </w:r>
    </w:p>
    <w:p w14:paraId="6B158580" w14:textId="563A35A8" w:rsidR="002E38DE" w:rsidRPr="002E38DE" w:rsidRDefault="002E38DE" w:rsidP="002E38DE">
      <w:pPr>
        <w:rPr>
          <w:lang w:val="en-AU"/>
        </w:rPr>
      </w:pPr>
      <w:r w:rsidRPr="002E38DE">
        <w:rPr>
          <w:lang w:val="en-AU"/>
        </w:rPr>
        <w:t>Monthly net cash balance ÷ Average Number of gaming machine entitlements</w:t>
      </w:r>
    </w:p>
    <w:p w14:paraId="6EA34F7C" w14:textId="625A5951" w:rsidR="002E38DE" w:rsidRPr="002E38DE" w:rsidRDefault="002E38DE" w:rsidP="002B0C2F">
      <w:pPr>
        <w:pStyle w:val="Heading3"/>
        <w:rPr>
          <w:lang w:val="en-AU"/>
        </w:rPr>
      </w:pPr>
      <w:r w:rsidRPr="002E38DE">
        <w:rPr>
          <w:lang w:val="en-AU"/>
        </w:rPr>
        <w:t xml:space="preserve">Gaming </w:t>
      </w:r>
      <w:r w:rsidR="002B0C2F">
        <w:rPr>
          <w:lang w:val="en-AU"/>
        </w:rPr>
        <w:t>t</w:t>
      </w:r>
      <w:r w:rsidRPr="002E38DE">
        <w:rPr>
          <w:lang w:val="en-AU"/>
        </w:rPr>
        <w:t xml:space="preserve">ax </w:t>
      </w:r>
      <w:r w:rsidR="002B0C2F">
        <w:rPr>
          <w:lang w:val="en-AU"/>
        </w:rPr>
        <w:t>r</w:t>
      </w:r>
      <w:r w:rsidRPr="002E38DE">
        <w:rPr>
          <w:lang w:val="en-AU"/>
        </w:rPr>
        <w:t>ates</w:t>
      </w:r>
    </w:p>
    <w:p w14:paraId="0A2D2869" w14:textId="287BA680" w:rsidR="002E38DE" w:rsidRPr="002E38DE" w:rsidRDefault="002E38DE" w:rsidP="002E38DE">
      <w:pPr>
        <w:rPr>
          <w:lang w:val="en-AU"/>
        </w:rPr>
      </w:pPr>
      <w:r w:rsidRPr="002E38DE">
        <w:rPr>
          <w:lang w:val="en-AU"/>
        </w:rPr>
        <w:t xml:space="preserve">Gaming tax is calculated using the following progressive tax rates, which came into effect on 16 August 2022, based on average monthly </w:t>
      </w:r>
      <w:r w:rsidR="005862E3">
        <w:rPr>
          <w:lang w:val="en-AU"/>
        </w:rPr>
        <w:t>n</w:t>
      </w:r>
      <w:r w:rsidRPr="002E38DE">
        <w:rPr>
          <w:lang w:val="en-AU"/>
        </w:rPr>
        <w:t xml:space="preserve">et </w:t>
      </w:r>
      <w:r w:rsidR="005862E3">
        <w:rPr>
          <w:lang w:val="en-AU"/>
        </w:rPr>
        <w:t>c</w:t>
      </w:r>
      <w:r w:rsidRPr="002E38DE">
        <w:rPr>
          <w:lang w:val="en-AU"/>
        </w:rPr>
        <w:t xml:space="preserve">ash </w:t>
      </w:r>
      <w:r w:rsidR="005862E3">
        <w:rPr>
          <w:lang w:val="en-AU"/>
        </w:rPr>
        <w:t>b</w:t>
      </w:r>
      <w:r w:rsidRPr="002E38DE">
        <w:rPr>
          <w:lang w:val="en-AU"/>
        </w:rPr>
        <w:t>alance, per machine, per venue</w:t>
      </w:r>
      <w:r w:rsidR="005862E3">
        <w:rPr>
          <w:lang w:val="en-AU"/>
        </w:rPr>
        <w:t>.</w:t>
      </w:r>
    </w:p>
    <w:p w14:paraId="5BB0919A" w14:textId="77777777" w:rsidR="00071BAC" w:rsidRDefault="00071BAC" w:rsidP="002E38DE">
      <w:pPr>
        <w:rPr>
          <w:lang w:val="en-AU"/>
        </w:rPr>
        <w:sectPr w:rsidR="00071BAC" w:rsidSect="00071BAC">
          <w:type w:val="continuous"/>
          <w:pgSz w:w="11900" w:h="16840"/>
          <w:pgMar w:top="1418" w:right="851" w:bottom="1814" w:left="851" w:header="709" w:footer="567" w:gutter="0"/>
          <w:cols w:num="2" w:space="720"/>
          <w:titlePg/>
          <w:docGrid w:linePitch="360"/>
        </w:sectPr>
      </w:pPr>
    </w:p>
    <w:p w14:paraId="6FDA7069" w14:textId="2F53D988" w:rsidR="00071BAC" w:rsidRPr="00071BAC" w:rsidRDefault="00071BAC" w:rsidP="00071BAC">
      <w:pPr>
        <w:pStyle w:val="TableLabel"/>
      </w:pPr>
      <w:r w:rsidRPr="00071BAC">
        <w:t>Applicable tax rates and brackets for September 2022 onwards</w:t>
      </w:r>
    </w:p>
    <w:tbl>
      <w:tblPr>
        <w:tblStyle w:val="TableGrid"/>
        <w:tblW w:w="0" w:type="auto"/>
        <w:tblLook w:val="04A0" w:firstRow="1" w:lastRow="0" w:firstColumn="1" w:lastColumn="0" w:noHBand="0" w:noVBand="1"/>
      </w:tblPr>
      <w:tblGrid>
        <w:gridCol w:w="851"/>
        <w:gridCol w:w="2336"/>
        <w:gridCol w:w="2337"/>
        <w:gridCol w:w="2337"/>
        <w:gridCol w:w="2337"/>
      </w:tblGrid>
      <w:tr w:rsidR="00071BAC" w14:paraId="516CBDEA" w14:textId="77777777" w:rsidTr="00A35B4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Pr>
          <w:p w14:paraId="601F1B48" w14:textId="77777777" w:rsidR="00071BAC" w:rsidRDefault="00071BAC" w:rsidP="00A35B45">
            <w:pPr>
              <w:pStyle w:val="TableHeader"/>
            </w:pPr>
          </w:p>
        </w:tc>
        <w:tc>
          <w:tcPr>
            <w:tcW w:w="2336" w:type="dxa"/>
          </w:tcPr>
          <w:p w14:paraId="24667745" w14:textId="0F517FD6" w:rsidR="00071BAC" w:rsidRDefault="00071BAC" w:rsidP="00A35B45">
            <w:pPr>
              <w:pStyle w:val="TableHeader"/>
              <w:jc w:val="center"/>
              <w:cnfStyle w:val="100000000000" w:firstRow="1" w:lastRow="0" w:firstColumn="0" w:lastColumn="0" w:oddVBand="0" w:evenVBand="0" w:oddHBand="0" w:evenHBand="0" w:firstRowFirstColumn="0" w:firstRowLastColumn="0" w:lastRowFirstColumn="0" w:lastRowLastColumn="0"/>
            </w:pPr>
            <w:r w:rsidRPr="002E38DE">
              <w:t>NCB/ENT</w:t>
            </w:r>
            <w:r w:rsidR="00570E48">
              <w:t>**</w:t>
            </w:r>
            <w:r w:rsidRPr="002E38DE">
              <w:t xml:space="preserve"> &lt; $2,666</w:t>
            </w:r>
          </w:p>
        </w:tc>
        <w:tc>
          <w:tcPr>
            <w:tcW w:w="2337" w:type="dxa"/>
          </w:tcPr>
          <w:p w14:paraId="09FA4AF1" w14:textId="77777777" w:rsidR="00071BAC" w:rsidRDefault="00071BAC" w:rsidP="00A35B45">
            <w:pPr>
              <w:pStyle w:val="TableHeader"/>
              <w:jc w:val="center"/>
              <w:cnfStyle w:val="100000000000" w:firstRow="1" w:lastRow="0" w:firstColumn="0" w:lastColumn="0" w:oddVBand="0" w:evenVBand="0" w:oddHBand="0" w:evenHBand="0" w:firstRowFirstColumn="0" w:firstRowLastColumn="0" w:lastRowFirstColumn="0" w:lastRowLastColumn="0"/>
            </w:pPr>
            <w:r w:rsidRPr="002E38DE">
              <w:t>$2,666 &lt; NCB/ENT</w:t>
            </w:r>
            <w:r>
              <w:t xml:space="preserve"> </w:t>
            </w:r>
            <w:r w:rsidRPr="002E38DE">
              <w:t>&lt; $6,666.67</w:t>
            </w:r>
          </w:p>
        </w:tc>
        <w:tc>
          <w:tcPr>
            <w:tcW w:w="2337" w:type="dxa"/>
          </w:tcPr>
          <w:p w14:paraId="6219ADDB" w14:textId="77777777" w:rsidR="00071BAC" w:rsidRDefault="00071BAC" w:rsidP="00A35B45">
            <w:pPr>
              <w:pStyle w:val="TableHeader"/>
              <w:jc w:val="center"/>
              <w:cnfStyle w:val="100000000000" w:firstRow="1" w:lastRow="0" w:firstColumn="0" w:lastColumn="0" w:oddVBand="0" w:evenVBand="0" w:oddHBand="0" w:evenHBand="0" w:firstRowFirstColumn="0" w:firstRowLastColumn="0" w:lastRowFirstColumn="0" w:lastRowLastColumn="0"/>
            </w:pPr>
            <w:r w:rsidRPr="002E38DE">
              <w:t>$6,666.67 &lt; NCB/ENT &lt; $12,500</w:t>
            </w:r>
          </w:p>
        </w:tc>
        <w:tc>
          <w:tcPr>
            <w:tcW w:w="2337" w:type="dxa"/>
          </w:tcPr>
          <w:p w14:paraId="0E2F8E24" w14:textId="77777777" w:rsidR="00071BAC" w:rsidRDefault="00071BAC" w:rsidP="00A35B45">
            <w:pPr>
              <w:pStyle w:val="TableHeader"/>
              <w:jc w:val="center"/>
              <w:cnfStyle w:val="100000000000" w:firstRow="1" w:lastRow="0" w:firstColumn="0" w:lastColumn="0" w:oddVBand="0" w:evenVBand="0" w:oddHBand="0" w:evenHBand="0" w:firstRowFirstColumn="0" w:firstRowLastColumn="0" w:lastRowFirstColumn="0" w:lastRowLastColumn="0"/>
            </w:pPr>
            <w:r w:rsidRPr="002E38DE">
              <w:t>NCB/ENT &gt; $12,500</w:t>
            </w:r>
          </w:p>
        </w:tc>
      </w:tr>
      <w:tr w:rsidR="00071BAC" w14:paraId="54A75F47" w14:textId="77777777" w:rsidTr="00A35B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Pr>
          <w:p w14:paraId="53BE94BF" w14:textId="77777777" w:rsidR="00071BAC" w:rsidRDefault="00071BAC" w:rsidP="00A35B45">
            <w:pPr>
              <w:pStyle w:val="TableText"/>
            </w:pPr>
            <w:r w:rsidRPr="002E38DE">
              <w:t>Club</w:t>
            </w:r>
          </w:p>
        </w:tc>
        <w:tc>
          <w:tcPr>
            <w:tcW w:w="2336" w:type="dxa"/>
          </w:tcPr>
          <w:p w14:paraId="515D3BF4" w14:textId="77777777" w:rsidR="00071BAC" w:rsidRDefault="00071BAC" w:rsidP="00A35B45">
            <w:pPr>
              <w:pStyle w:val="TableText"/>
              <w:jc w:val="right"/>
              <w:cnfStyle w:val="000000100000" w:firstRow="0" w:lastRow="0" w:firstColumn="0" w:lastColumn="0" w:oddVBand="0" w:evenVBand="0" w:oddHBand="1" w:evenHBand="0" w:firstRowFirstColumn="0" w:firstRowLastColumn="0" w:lastRowFirstColumn="0" w:lastRowLastColumn="0"/>
            </w:pPr>
            <w:r w:rsidRPr="002E38DE">
              <w:t>Free</w:t>
            </w:r>
          </w:p>
        </w:tc>
        <w:tc>
          <w:tcPr>
            <w:tcW w:w="2337" w:type="dxa"/>
          </w:tcPr>
          <w:p w14:paraId="00D1CDF2" w14:textId="77777777" w:rsidR="00071BAC" w:rsidRDefault="00071BAC" w:rsidP="00A35B45">
            <w:pPr>
              <w:pStyle w:val="TableText"/>
              <w:jc w:val="right"/>
              <w:cnfStyle w:val="000000100000" w:firstRow="0" w:lastRow="0" w:firstColumn="0" w:lastColumn="0" w:oddVBand="0" w:evenVBand="0" w:oddHBand="1" w:evenHBand="0" w:firstRowFirstColumn="0" w:firstRowLastColumn="0" w:lastRowFirstColumn="0" w:lastRowLastColumn="0"/>
            </w:pPr>
            <w:r w:rsidRPr="002E38DE">
              <w:t>46.70%</w:t>
            </w:r>
          </w:p>
        </w:tc>
        <w:tc>
          <w:tcPr>
            <w:tcW w:w="2337" w:type="dxa"/>
          </w:tcPr>
          <w:p w14:paraId="0BD66946" w14:textId="77777777" w:rsidR="00071BAC" w:rsidRDefault="00071BAC" w:rsidP="00A35B45">
            <w:pPr>
              <w:pStyle w:val="TableText"/>
              <w:jc w:val="right"/>
              <w:cnfStyle w:val="000000100000" w:firstRow="0" w:lastRow="0" w:firstColumn="0" w:lastColumn="0" w:oddVBand="0" w:evenVBand="0" w:oddHBand="1" w:evenHBand="0" w:firstRowFirstColumn="0" w:firstRowLastColumn="0" w:lastRowFirstColumn="0" w:lastRowLastColumn="0"/>
            </w:pPr>
            <w:r w:rsidRPr="002E38DE">
              <w:t>51.17%</w:t>
            </w:r>
          </w:p>
        </w:tc>
        <w:tc>
          <w:tcPr>
            <w:tcW w:w="2337" w:type="dxa"/>
          </w:tcPr>
          <w:p w14:paraId="3B916A4A" w14:textId="77777777" w:rsidR="00071BAC" w:rsidRDefault="00071BAC" w:rsidP="00A35B45">
            <w:pPr>
              <w:pStyle w:val="TableText"/>
              <w:jc w:val="right"/>
              <w:cnfStyle w:val="000000100000" w:firstRow="0" w:lastRow="0" w:firstColumn="0" w:lastColumn="0" w:oddVBand="0" w:evenVBand="0" w:oddHBand="1" w:evenHBand="0" w:firstRowFirstColumn="0" w:firstRowLastColumn="0" w:lastRowFirstColumn="0" w:lastRowLastColumn="0"/>
            </w:pPr>
            <w:r w:rsidRPr="002E38DE">
              <w:t>60.67%</w:t>
            </w:r>
          </w:p>
        </w:tc>
      </w:tr>
      <w:tr w:rsidR="00071BAC" w14:paraId="1BC4A2C8" w14:textId="77777777" w:rsidTr="00A35B45">
        <w:tc>
          <w:tcPr>
            <w:cnfStyle w:val="001000000000" w:firstRow="0" w:lastRow="0" w:firstColumn="1" w:lastColumn="0" w:oddVBand="0" w:evenVBand="0" w:oddHBand="0" w:evenHBand="0" w:firstRowFirstColumn="0" w:firstRowLastColumn="0" w:lastRowFirstColumn="0" w:lastRowLastColumn="0"/>
            <w:tcW w:w="851" w:type="dxa"/>
          </w:tcPr>
          <w:p w14:paraId="33FF0667" w14:textId="77777777" w:rsidR="00071BAC" w:rsidRDefault="00071BAC" w:rsidP="00A35B45">
            <w:pPr>
              <w:pStyle w:val="TableText"/>
            </w:pPr>
            <w:r w:rsidRPr="002E38DE">
              <w:t>Hotel</w:t>
            </w:r>
          </w:p>
        </w:tc>
        <w:tc>
          <w:tcPr>
            <w:tcW w:w="2336" w:type="dxa"/>
          </w:tcPr>
          <w:p w14:paraId="59A56E90" w14:textId="77777777" w:rsidR="00071BAC" w:rsidRDefault="00071BAC" w:rsidP="00A35B45">
            <w:pPr>
              <w:pStyle w:val="TableText"/>
              <w:jc w:val="right"/>
              <w:cnfStyle w:val="000000000000" w:firstRow="0" w:lastRow="0" w:firstColumn="0" w:lastColumn="0" w:oddVBand="0" w:evenVBand="0" w:oddHBand="0" w:evenHBand="0" w:firstRowFirstColumn="0" w:firstRowLastColumn="0" w:lastRowFirstColumn="0" w:lastRowLastColumn="0"/>
            </w:pPr>
            <w:r w:rsidRPr="002E38DE">
              <w:t>8.33%</w:t>
            </w:r>
          </w:p>
        </w:tc>
        <w:tc>
          <w:tcPr>
            <w:tcW w:w="2337" w:type="dxa"/>
          </w:tcPr>
          <w:p w14:paraId="3A8F7FA7" w14:textId="77777777" w:rsidR="00071BAC" w:rsidRDefault="00071BAC" w:rsidP="00A35B45">
            <w:pPr>
              <w:pStyle w:val="TableText"/>
              <w:jc w:val="right"/>
              <w:cnfStyle w:val="000000000000" w:firstRow="0" w:lastRow="0" w:firstColumn="0" w:lastColumn="0" w:oddVBand="0" w:evenVBand="0" w:oddHBand="0" w:evenHBand="0" w:firstRowFirstColumn="0" w:firstRowLastColumn="0" w:lastRowFirstColumn="0" w:lastRowLastColumn="0"/>
            </w:pPr>
            <w:r w:rsidRPr="002E38DE">
              <w:t>55.03%</w:t>
            </w:r>
          </w:p>
        </w:tc>
        <w:tc>
          <w:tcPr>
            <w:tcW w:w="2337" w:type="dxa"/>
          </w:tcPr>
          <w:p w14:paraId="2E20EE61" w14:textId="77777777" w:rsidR="00071BAC" w:rsidRDefault="00071BAC" w:rsidP="00A35B45">
            <w:pPr>
              <w:pStyle w:val="TableText"/>
              <w:jc w:val="right"/>
              <w:cnfStyle w:val="000000000000" w:firstRow="0" w:lastRow="0" w:firstColumn="0" w:lastColumn="0" w:oddVBand="0" w:evenVBand="0" w:oddHBand="0" w:evenHBand="0" w:firstRowFirstColumn="0" w:firstRowLastColumn="0" w:lastRowFirstColumn="0" w:lastRowLastColumn="0"/>
            </w:pPr>
            <w:r w:rsidRPr="002E38DE">
              <w:t>57.50%</w:t>
            </w:r>
          </w:p>
        </w:tc>
        <w:tc>
          <w:tcPr>
            <w:tcW w:w="2337" w:type="dxa"/>
          </w:tcPr>
          <w:p w14:paraId="4065C85E" w14:textId="77777777" w:rsidR="00071BAC" w:rsidRDefault="00071BAC" w:rsidP="00A35B45">
            <w:pPr>
              <w:pStyle w:val="TableText"/>
              <w:jc w:val="right"/>
              <w:cnfStyle w:val="000000000000" w:firstRow="0" w:lastRow="0" w:firstColumn="0" w:lastColumn="0" w:oddVBand="0" w:evenVBand="0" w:oddHBand="0" w:evenHBand="0" w:firstRowFirstColumn="0" w:firstRowLastColumn="0" w:lastRowFirstColumn="0" w:lastRowLastColumn="0"/>
            </w:pPr>
            <w:r w:rsidRPr="002E38DE">
              <w:t>65.00%</w:t>
            </w:r>
          </w:p>
        </w:tc>
      </w:tr>
    </w:tbl>
    <w:p w14:paraId="3CAEA726" w14:textId="4C44A0B3" w:rsidR="00071BAC" w:rsidRDefault="00071BAC" w:rsidP="00071BAC">
      <w:pPr>
        <w:pStyle w:val="Footer"/>
        <w:rPr>
          <w:lang w:val="en-AU"/>
        </w:rPr>
      </w:pPr>
      <w:r w:rsidRPr="008B0DCD">
        <w:rPr>
          <w:lang w:val="en-AU"/>
        </w:rPr>
        <w:t>**</w:t>
      </w:r>
      <w:r w:rsidR="0030597C" w:rsidRPr="008B0DCD">
        <w:rPr>
          <w:lang w:val="en-AU"/>
        </w:rPr>
        <w:t>NCB/ENT (</w:t>
      </w:r>
      <w:r w:rsidRPr="00823F21">
        <w:rPr>
          <w:lang w:val="en-AU"/>
        </w:rPr>
        <w:t>Average</w:t>
      </w:r>
      <w:r w:rsidRPr="002E38DE">
        <w:rPr>
          <w:lang w:val="en-AU"/>
        </w:rPr>
        <w:t xml:space="preserve"> net cash</w:t>
      </w:r>
      <w:r w:rsidR="0030597C">
        <w:rPr>
          <w:lang w:val="en-AU"/>
        </w:rPr>
        <w:t xml:space="preserve"> </w:t>
      </w:r>
      <w:r w:rsidRPr="002E38DE">
        <w:rPr>
          <w:lang w:val="en-AU"/>
        </w:rPr>
        <w:t>balance</w:t>
      </w:r>
      <w:r w:rsidR="0030597C">
        <w:rPr>
          <w:lang w:val="en-AU"/>
        </w:rPr>
        <w:t>)</w:t>
      </w:r>
      <w:r w:rsidRPr="002E38DE">
        <w:rPr>
          <w:lang w:val="en-AU"/>
        </w:rPr>
        <w:t xml:space="preserve"> based on average entitlements at the venue. Refer to section 3.1 of these requirements for further details on this calculation.</w:t>
      </w:r>
    </w:p>
    <w:p w14:paraId="3B8C8F00" w14:textId="75A67A24" w:rsidR="005862E3" w:rsidRDefault="005862E3" w:rsidP="005862E3">
      <w:pPr>
        <w:pStyle w:val="Footer"/>
        <w:rPr>
          <w:lang w:val="en-AU"/>
        </w:rPr>
      </w:pPr>
      <w:r w:rsidRPr="002E38DE">
        <w:rPr>
          <w:lang w:val="en-AU"/>
        </w:rPr>
        <w:t>Section 3.6.6A and 3.6.6B of the Act provides details of the tax rates applied to the period prior to 16 August 2022.</w:t>
      </w:r>
    </w:p>
    <w:p w14:paraId="2625BA8B" w14:textId="77777777" w:rsidR="005862E3" w:rsidRPr="002E38DE" w:rsidRDefault="005862E3" w:rsidP="00071BAC">
      <w:pPr>
        <w:pStyle w:val="Footer"/>
        <w:rPr>
          <w:lang w:val="en-AU"/>
        </w:rPr>
      </w:pPr>
    </w:p>
    <w:p w14:paraId="53FB03DB" w14:textId="77777777" w:rsidR="00071BAC" w:rsidRDefault="00071BAC" w:rsidP="002E38DE">
      <w:pPr>
        <w:rPr>
          <w:lang w:val="en-AU"/>
        </w:rPr>
        <w:sectPr w:rsidR="00071BAC" w:rsidSect="00071BAC">
          <w:type w:val="continuous"/>
          <w:pgSz w:w="11900" w:h="16840"/>
          <w:pgMar w:top="1418" w:right="851" w:bottom="1814" w:left="851" w:header="709" w:footer="567" w:gutter="0"/>
          <w:cols w:space="720"/>
          <w:titlePg/>
          <w:docGrid w:linePitch="360"/>
        </w:sectPr>
      </w:pPr>
    </w:p>
    <w:p w14:paraId="765C6422" w14:textId="1FCE9A1D" w:rsidR="00071BAC" w:rsidRDefault="00071BAC" w:rsidP="002E38DE">
      <w:pPr>
        <w:rPr>
          <w:lang w:val="en-AU"/>
        </w:rPr>
      </w:pPr>
      <w:r>
        <w:rPr>
          <w:lang w:val="en-AU"/>
        </w:rPr>
        <w:br w:type="page"/>
      </w:r>
    </w:p>
    <w:p w14:paraId="43579F8A" w14:textId="1C1511BD" w:rsidR="002B0C2F" w:rsidRDefault="008B0DCD" w:rsidP="008B0DCD">
      <w:pPr>
        <w:pStyle w:val="Heading2"/>
        <w:numPr>
          <w:ilvl w:val="0"/>
          <w:numId w:val="0"/>
        </w:numPr>
        <w:ind w:left="576" w:hanging="576"/>
        <w:rPr>
          <w:lang w:val="en-AU"/>
        </w:rPr>
      </w:pPr>
      <w:bookmarkStart w:id="28" w:name="_Toc114465565"/>
      <w:r>
        <w:rPr>
          <w:lang w:val="en-AU"/>
        </w:rPr>
        <w:lastRenderedPageBreak/>
        <w:t xml:space="preserve">3.3 </w:t>
      </w:r>
      <w:r w:rsidR="002E38DE" w:rsidRPr="002E38DE">
        <w:rPr>
          <w:lang w:val="en-AU"/>
        </w:rPr>
        <w:t>E</w:t>
      </w:r>
      <w:r w:rsidR="002B0C2F">
        <w:rPr>
          <w:lang w:val="en-AU"/>
        </w:rPr>
        <w:t>xamples of the tax calculation</w:t>
      </w:r>
      <w:bookmarkEnd w:id="28"/>
    </w:p>
    <w:p w14:paraId="20A07EB4" w14:textId="2AAF396B" w:rsidR="002E38DE" w:rsidRPr="002E38DE" w:rsidRDefault="002E38DE" w:rsidP="002B0C2F">
      <w:pPr>
        <w:pStyle w:val="Heading3"/>
        <w:rPr>
          <w:lang w:val="en-AU"/>
        </w:rPr>
      </w:pPr>
      <w:r w:rsidRPr="002E38DE">
        <w:rPr>
          <w:lang w:val="en-AU"/>
        </w:rPr>
        <w:t xml:space="preserve">Example </w:t>
      </w:r>
      <w:r w:rsidR="002B0C2F">
        <w:rPr>
          <w:lang w:val="en-AU"/>
        </w:rPr>
        <w:t>1</w:t>
      </w:r>
    </w:p>
    <w:p w14:paraId="48299178" w14:textId="77777777" w:rsidR="002E38DE" w:rsidRPr="002E38DE" w:rsidRDefault="002E38DE" w:rsidP="005862E3">
      <w:pPr>
        <w:spacing w:after="140" w:line="240" w:lineRule="atLeast"/>
        <w:rPr>
          <w:lang w:val="en-AU"/>
        </w:rPr>
      </w:pPr>
      <w:r w:rsidRPr="002E38DE">
        <w:rPr>
          <w:lang w:val="en-AU"/>
        </w:rPr>
        <w:t>Club Simple Inc has:</w:t>
      </w:r>
    </w:p>
    <w:p w14:paraId="7DBE8D7B" w14:textId="3204F864" w:rsidR="002E38DE" w:rsidRPr="002E38DE" w:rsidRDefault="002E38DE" w:rsidP="005862E3">
      <w:pPr>
        <w:pStyle w:val="Bullet1"/>
        <w:spacing w:after="140" w:line="240" w:lineRule="atLeast"/>
      </w:pPr>
      <w:r w:rsidRPr="002E38DE">
        <w:t>approval to operate 100 gaming machines at Club Simple</w:t>
      </w:r>
    </w:p>
    <w:p w14:paraId="1246AAF6" w14:textId="0E829E57" w:rsidR="002E38DE" w:rsidRPr="002E38DE" w:rsidRDefault="002E38DE" w:rsidP="005862E3">
      <w:pPr>
        <w:pStyle w:val="Bullet1"/>
        <w:spacing w:after="140" w:line="240" w:lineRule="atLeast"/>
      </w:pPr>
      <w:r w:rsidRPr="002E38DE">
        <w:t>purchased 100 entitlements</w:t>
      </w:r>
    </w:p>
    <w:p w14:paraId="3C195BD6" w14:textId="5AABF46B" w:rsidR="002E38DE" w:rsidRPr="002E38DE" w:rsidRDefault="002E38DE" w:rsidP="005862E3">
      <w:pPr>
        <w:pStyle w:val="Bullet1"/>
        <w:spacing w:after="140" w:line="240" w:lineRule="atLeast"/>
      </w:pPr>
      <w:r w:rsidRPr="002E38DE">
        <w:t>purchased 100 gaming machines</w:t>
      </w:r>
    </w:p>
    <w:p w14:paraId="7009B358" w14:textId="11CCA3EF" w:rsidR="002E38DE" w:rsidRPr="002E38DE" w:rsidRDefault="002E38DE" w:rsidP="005862E3">
      <w:pPr>
        <w:pStyle w:val="Bullet1"/>
        <w:spacing w:after="140" w:line="240" w:lineRule="atLeast"/>
      </w:pPr>
      <w:r w:rsidRPr="002E38DE">
        <w:t>100 gaming machines connected to the monitoring system.</w:t>
      </w:r>
    </w:p>
    <w:p w14:paraId="3F323227" w14:textId="4D4C7D10" w:rsidR="002E38DE" w:rsidRPr="002E38DE" w:rsidRDefault="002E38DE" w:rsidP="005862E3">
      <w:pPr>
        <w:spacing w:after="140" w:line="240" w:lineRule="atLeast"/>
        <w:rPr>
          <w:lang w:val="en-AU"/>
        </w:rPr>
      </w:pPr>
      <w:r w:rsidRPr="002E38DE">
        <w:rPr>
          <w:lang w:val="en-AU"/>
        </w:rPr>
        <w:t>If Club Simple generates $2,000,000 in revenue for the calendar month of September 2022, the tax liability for that mo</w:t>
      </w:r>
      <w:r w:rsidR="002B0C2F">
        <w:rPr>
          <w:lang w:val="en-AU"/>
        </w:rPr>
        <w:t>n</w:t>
      </w:r>
      <w:r w:rsidRPr="002E38DE">
        <w:rPr>
          <w:lang w:val="en-AU"/>
        </w:rPr>
        <w:t>th is calculated as follows:</w:t>
      </w:r>
    </w:p>
    <w:p w14:paraId="03BACD53" w14:textId="3E7D4765" w:rsidR="002E38DE" w:rsidRPr="002E38DE" w:rsidRDefault="00071BAC" w:rsidP="005862E3">
      <w:pPr>
        <w:pStyle w:val="Bullet1"/>
        <w:spacing w:after="140" w:line="240" w:lineRule="atLeast"/>
      </w:pPr>
      <w:r>
        <w:t>A</w:t>
      </w:r>
      <w:r w:rsidR="002E38DE" w:rsidRPr="002E38DE">
        <w:t>verage revenue per gaming machine entitlement</w:t>
      </w:r>
      <w:r>
        <w:t>:</w:t>
      </w:r>
      <w:r w:rsidR="002E38DE" w:rsidRPr="002E38DE">
        <w:t xml:space="preserve"> $2,000,000 ÷ 100 = $20,000</w:t>
      </w:r>
    </w:p>
    <w:p w14:paraId="3063A3BF" w14:textId="4C4A423A" w:rsidR="002E38DE" w:rsidRPr="002E38DE" w:rsidRDefault="00071BAC" w:rsidP="005862E3">
      <w:pPr>
        <w:pStyle w:val="Bullet1"/>
        <w:spacing w:after="140" w:line="240" w:lineRule="atLeast"/>
      </w:pPr>
      <w:r>
        <w:t>T</w:t>
      </w:r>
      <w:r w:rsidR="002E38DE" w:rsidRPr="002E38DE">
        <w:t>ax per entitlemen</w:t>
      </w:r>
      <w:r w:rsidR="002B0C2F">
        <w:t>t</w:t>
      </w:r>
      <w:r>
        <w:t>:</w:t>
      </w:r>
      <w:r w:rsidR="002E38DE" w:rsidRPr="002E38DE">
        <w:t xml:space="preserve"> ($6,666.67 - $2,666) x 46.7% + ($12,500 - $6,666.67) x 51.17% + ($20,000 - $12,500) x 60.67% = $9,403.48</w:t>
      </w:r>
    </w:p>
    <w:p w14:paraId="4BEDAFE6" w14:textId="26680E0D" w:rsidR="002E38DE" w:rsidRPr="002E38DE" w:rsidRDefault="00071BAC" w:rsidP="005862E3">
      <w:pPr>
        <w:pStyle w:val="Bullet1"/>
        <w:spacing w:after="140" w:line="240" w:lineRule="atLeast"/>
      </w:pPr>
      <w:r>
        <w:t>T</w:t>
      </w:r>
      <w:r w:rsidR="002E38DE" w:rsidRPr="002E38DE">
        <w:t>otal tax liability for a calendar month</w:t>
      </w:r>
      <w:r>
        <w:t>:</w:t>
      </w:r>
      <w:r w:rsidR="002E38DE" w:rsidRPr="002E38DE">
        <w:t xml:space="preserve"> $9,403.48 x 100 = $940,348</w:t>
      </w:r>
    </w:p>
    <w:p w14:paraId="7881D601" w14:textId="396EEC0C" w:rsidR="002E38DE" w:rsidRPr="002E38DE" w:rsidRDefault="002E38DE" w:rsidP="002B0C2F">
      <w:pPr>
        <w:pStyle w:val="Heading3"/>
        <w:rPr>
          <w:lang w:val="en-AU"/>
        </w:rPr>
      </w:pPr>
      <w:r w:rsidRPr="002E38DE">
        <w:rPr>
          <w:lang w:val="en-AU"/>
        </w:rPr>
        <w:t xml:space="preserve">Example </w:t>
      </w:r>
      <w:r w:rsidR="002B0C2F">
        <w:rPr>
          <w:lang w:val="en-AU"/>
        </w:rPr>
        <w:t>2</w:t>
      </w:r>
    </w:p>
    <w:p w14:paraId="27FBE132" w14:textId="77777777" w:rsidR="002E38DE" w:rsidRPr="002E38DE" w:rsidRDefault="002E38DE" w:rsidP="005862E3">
      <w:pPr>
        <w:spacing w:line="260" w:lineRule="atLeast"/>
        <w:rPr>
          <w:lang w:val="en-AU"/>
        </w:rPr>
      </w:pPr>
      <w:r w:rsidRPr="002E38DE">
        <w:rPr>
          <w:lang w:val="en-AU"/>
        </w:rPr>
        <w:t>Pub Simple Pty Ltd has:</w:t>
      </w:r>
    </w:p>
    <w:p w14:paraId="04FB0652" w14:textId="2A30694A" w:rsidR="002E38DE" w:rsidRPr="002E38DE" w:rsidRDefault="002E38DE" w:rsidP="005862E3">
      <w:pPr>
        <w:pStyle w:val="Bullet1"/>
        <w:spacing w:after="140" w:line="260" w:lineRule="atLeast"/>
      </w:pPr>
      <w:r w:rsidRPr="002E38DE">
        <w:t>approval to operate 100 gaming machines at Pub Simple</w:t>
      </w:r>
    </w:p>
    <w:p w14:paraId="2D2E3262" w14:textId="34053743" w:rsidR="002E38DE" w:rsidRPr="002E38DE" w:rsidRDefault="002E38DE" w:rsidP="005862E3">
      <w:pPr>
        <w:pStyle w:val="Bullet1"/>
        <w:spacing w:after="140" w:line="260" w:lineRule="atLeast"/>
      </w:pPr>
      <w:r w:rsidRPr="002E38DE">
        <w:t>purchased 100 entitlements</w:t>
      </w:r>
    </w:p>
    <w:p w14:paraId="604FB516" w14:textId="08569B5A" w:rsidR="002E38DE" w:rsidRPr="002E38DE" w:rsidRDefault="002E38DE" w:rsidP="005862E3">
      <w:pPr>
        <w:pStyle w:val="Bullet1"/>
        <w:spacing w:after="140" w:line="260" w:lineRule="atLeast"/>
      </w:pPr>
      <w:r w:rsidRPr="002E38DE">
        <w:t>purchased 100 gaming machines</w:t>
      </w:r>
    </w:p>
    <w:p w14:paraId="6CE304E0" w14:textId="581A69B8" w:rsidR="002E38DE" w:rsidRPr="002E38DE" w:rsidRDefault="002E38DE" w:rsidP="005862E3">
      <w:pPr>
        <w:pStyle w:val="Bullet1"/>
        <w:spacing w:after="140" w:line="260" w:lineRule="atLeast"/>
      </w:pPr>
      <w:r w:rsidRPr="002E38DE">
        <w:t>100 gaming machines connected to the monitoring system.</w:t>
      </w:r>
    </w:p>
    <w:p w14:paraId="5C3EF731" w14:textId="77777777" w:rsidR="002E38DE" w:rsidRPr="002E38DE" w:rsidRDefault="002E38DE" w:rsidP="005862E3">
      <w:pPr>
        <w:spacing w:after="140" w:line="260" w:lineRule="atLeast"/>
        <w:rPr>
          <w:lang w:val="en-AU"/>
        </w:rPr>
      </w:pPr>
      <w:r w:rsidRPr="002E38DE">
        <w:rPr>
          <w:lang w:val="en-AU"/>
        </w:rPr>
        <w:t>If Pub Simple generates $2,000,000 in revenue for the calendar month of September 2022, the tax liability for that month is calculated as follows:</w:t>
      </w:r>
    </w:p>
    <w:p w14:paraId="769DE957" w14:textId="30F673DA" w:rsidR="002E38DE" w:rsidRPr="002E38DE" w:rsidRDefault="00071BAC" w:rsidP="005862E3">
      <w:pPr>
        <w:pStyle w:val="Bullet1"/>
        <w:spacing w:after="140" w:line="260" w:lineRule="atLeast"/>
      </w:pPr>
      <w:r>
        <w:t>A</w:t>
      </w:r>
      <w:r w:rsidR="002E38DE" w:rsidRPr="002E38DE">
        <w:t>verage revenue per gaming machine entitlement</w:t>
      </w:r>
      <w:r>
        <w:t>:</w:t>
      </w:r>
      <w:r w:rsidR="002E38DE" w:rsidRPr="002E38DE">
        <w:t xml:space="preserve"> $2,000,000 ÷ 100 = $20,000</w:t>
      </w:r>
    </w:p>
    <w:p w14:paraId="230DA6F1" w14:textId="6B2D646D" w:rsidR="002E38DE" w:rsidRPr="002E38DE" w:rsidRDefault="00071BAC" w:rsidP="005862E3">
      <w:pPr>
        <w:pStyle w:val="Bullet1"/>
        <w:spacing w:after="140" w:line="260" w:lineRule="atLeast"/>
      </w:pPr>
      <w:r>
        <w:t>T</w:t>
      </w:r>
      <w:r w:rsidR="002E38DE" w:rsidRPr="002E38DE">
        <w:t>ax per entitlement</w:t>
      </w:r>
      <w:r>
        <w:t>:</w:t>
      </w:r>
      <w:r w:rsidR="002E38DE" w:rsidRPr="002E38DE">
        <w:t xml:space="preserve"> ($2,666 x 8.33%) + ($6,666.67 - $2,666) x 55.03% + ($12,500 - $6,666.67) x 57.5% + ($20,000 - $12,500) x 65% = $10,652.81</w:t>
      </w:r>
    </w:p>
    <w:p w14:paraId="00E04C23" w14:textId="6F563651" w:rsidR="002E38DE" w:rsidRDefault="00071BAC" w:rsidP="005862E3">
      <w:pPr>
        <w:pStyle w:val="Bullet1"/>
        <w:spacing w:after="140" w:line="260" w:lineRule="atLeast"/>
      </w:pPr>
      <w:r>
        <w:t>T</w:t>
      </w:r>
      <w:r w:rsidR="002E38DE" w:rsidRPr="002E38DE">
        <w:t>otal tax liability for a calendar month</w:t>
      </w:r>
      <w:r>
        <w:t>:</w:t>
      </w:r>
      <w:r w:rsidR="002E38DE" w:rsidRPr="002E38DE">
        <w:t xml:space="preserve"> $10,652.81 x 100 = $1,065,281</w:t>
      </w:r>
    </w:p>
    <w:p w14:paraId="37D5995B" w14:textId="70D833B4" w:rsidR="002E38DE" w:rsidRPr="002E38DE" w:rsidRDefault="008B0DCD" w:rsidP="008B0DCD">
      <w:pPr>
        <w:pStyle w:val="Heading3"/>
        <w:rPr>
          <w:lang w:val="en-AU"/>
        </w:rPr>
      </w:pPr>
      <w:r>
        <w:rPr>
          <w:lang w:val="en-AU"/>
        </w:rPr>
        <w:br w:type="column"/>
      </w:r>
      <w:r w:rsidR="002E38DE" w:rsidRPr="002E38DE">
        <w:rPr>
          <w:lang w:val="en-AU"/>
        </w:rPr>
        <w:t xml:space="preserve">Example </w:t>
      </w:r>
      <w:r w:rsidR="002B0C2F">
        <w:rPr>
          <w:lang w:val="en-AU"/>
        </w:rPr>
        <w:t>3</w:t>
      </w:r>
    </w:p>
    <w:p w14:paraId="18690C35" w14:textId="35EDADC9" w:rsidR="002E38DE" w:rsidRPr="002E38DE" w:rsidRDefault="002E38DE" w:rsidP="005862E3">
      <w:pPr>
        <w:spacing w:line="260" w:lineRule="atLeast"/>
        <w:rPr>
          <w:lang w:val="en-AU"/>
        </w:rPr>
      </w:pPr>
      <w:r w:rsidRPr="002E38DE">
        <w:rPr>
          <w:lang w:val="en-AU"/>
        </w:rPr>
        <w:t>Club Alpha is conducting gaming from 7 September 2022 and has:</w:t>
      </w:r>
    </w:p>
    <w:p w14:paraId="11060B86" w14:textId="3E9F0EB5" w:rsidR="002E38DE" w:rsidRPr="002E38DE" w:rsidRDefault="002E38DE" w:rsidP="005862E3">
      <w:pPr>
        <w:pStyle w:val="Bullet1"/>
        <w:spacing w:line="260" w:lineRule="atLeast"/>
      </w:pPr>
      <w:r w:rsidRPr="002E38DE">
        <w:t>approval to operate 50 gaming machines at its venue</w:t>
      </w:r>
    </w:p>
    <w:p w14:paraId="2FF4C4FC" w14:textId="6E9B3122" w:rsidR="002E38DE" w:rsidRPr="002E38DE" w:rsidRDefault="002E38DE" w:rsidP="005862E3">
      <w:pPr>
        <w:pStyle w:val="Bullet1"/>
        <w:spacing w:line="260" w:lineRule="atLeast"/>
      </w:pPr>
      <w:r w:rsidRPr="002E38DE">
        <w:t>purchased 50 entitlements at the gaming auction</w:t>
      </w:r>
    </w:p>
    <w:p w14:paraId="5C35BEF4" w14:textId="19E3CEFE" w:rsidR="002E38DE" w:rsidRPr="002E38DE" w:rsidRDefault="002E38DE" w:rsidP="005862E3">
      <w:pPr>
        <w:pStyle w:val="Bullet1"/>
        <w:spacing w:line="260" w:lineRule="atLeast"/>
      </w:pPr>
      <w:r w:rsidRPr="002E38DE">
        <w:t>purchased 40 physical gaming machines, and</w:t>
      </w:r>
    </w:p>
    <w:p w14:paraId="27DF4981" w14:textId="42A6B8D2" w:rsidR="002E38DE" w:rsidRPr="002E38DE" w:rsidRDefault="002E38DE" w:rsidP="005862E3">
      <w:pPr>
        <w:pStyle w:val="Bullet1"/>
        <w:spacing w:line="260" w:lineRule="atLeast"/>
      </w:pPr>
      <w:r w:rsidRPr="002E38DE">
        <w:t>40 gaming machines connected to the monitoring system and operational from 7 September to 30 September 2022.</w:t>
      </w:r>
    </w:p>
    <w:p w14:paraId="56D420BF" w14:textId="3F812C29" w:rsidR="002E38DE" w:rsidRPr="002E38DE" w:rsidRDefault="002E38DE" w:rsidP="005862E3">
      <w:pPr>
        <w:spacing w:line="260" w:lineRule="atLeast"/>
        <w:rPr>
          <w:lang w:val="en-AU"/>
        </w:rPr>
      </w:pPr>
      <w:r w:rsidRPr="002E38DE">
        <w:rPr>
          <w:lang w:val="en-AU"/>
        </w:rPr>
        <w:t xml:space="preserve">The calculation of gaming tax for the month requires the use of the average number of gaming machine entitlements. This is based on the number of gaming machine entitlements that is, or may be used, in the conduct of gaming at the approved venue. </w:t>
      </w:r>
    </w:p>
    <w:p w14:paraId="4DB344EB" w14:textId="269865AC" w:rsidR="002E38DE" w:rsidRPr="002E38DE" w:rsidRDefault="002E38DE" w:rsidP="005862E3">
      <w:pPr>
        <w:spacing w:line="260" w:lineRule="atLeast"/>
        <w:rPr>
          <w:lang w:val="en-AU"/>
        </w:rPr>
      </w:pPr>
      <w:r w:rsidRPr="002E38DE">
        <w:rPr>
          <w:lang w:val="en-AU"/>
        </w:rPr>
        <w:t>In the month of September 2022, Club Alpha’s calculation of average entitlements is:</w:t>
      </w:r>
    </w:p>
    <w:p w14:paraId="7167BC71" w14:textId="70E88E15" w:rsidR="002E38DE" w:rsidRPr="00071BAC" w:rsidRDefault="002E38DE" w:rsidP="005862E3">
      <w:pPr>
        <w:pStyle w:val="Bullet1"/>
        <w:spacing w:line="260" w:lineRule="atLeast"/>
      </w:pPr>
      <w:r w:rsidRPr="00071BAC">
        <w:t>40 entitlements x 24 days in September = 960</w:t>
      </w:r>
    </w:p>
    <w:p w14:paraId="33B5296C" w14:textId="7F1AB7E3" w:rsidR="002E38DE" w:rsidRPr="00071BAC" w:rsidRDefault="002E38DE" w:rsidP="005862E3">
      <w:pPr>
        <w:pStyle w:val="Bullet1"/>
        <w:spacing w:line="260" w:lineRule="atLeast"/>
      </w:pPr>
      <w:r w:rsidRPr="00071BAC">
        <w:t>960 ÷ 30 days = 32 average entitlements</w:t>
      </w:r>
    </w:p>
    <w:p w14:paraId="4802DD24" w14:textId="6519081E" w:rsidR="002E38DE" w:rsidRPr="002E38DE" w:rsidRDefault="002E38DE" w:rsidP="00071BAC">
      <w:pPr>
        <w:pStyle w:val="Heading3"/>
        <w:rPr>
          <w:lang w:val="en-AU"/>
        </w:rPr>
      </w:pPr>
      <w:r w:rsidRPr="002E38DE">
        <w:rPr>
          <w:lang w:val="en-AU"/>
        </w:rPr>
        <w:t xml:space="preserve">Example </w:t>
      </w:r>
      <w:r w:rsidR="00071BAC">
        <w:rPr>
          <w:lang w:val="en-AU"/>
        </w:rPr>
        <w:t>4</w:t>
      </w:r>
    </w:p>
    <w:p w14:paraId="30EA7DCE" w14:textId="77777777" w:rsidR="002E38DE" w:rsidRPr="002E38DE" w:rsidRDefault="002E38DE" w:rsidP="002E38DE">
      <w:pPr>
        <w:rPr>
          <w:lang w:val="en-AU"/>
        </w:rPr>
      </w:pPr>
      <w:r w:rsidRPr="002E38DE">
        <w:rPr>
          <w:lang w:val="en-AU"/>
        </w:rPr>
        <w:t>John Jones is a venue operator who has two venues as following:</w:t>
      </w:r>
    </w:p>
    <w:p w14:paraId="2EE90581" w14:textId="201144EC" w:rsidR="002E38DE" w:rsidRPr="002E38DE" w:rsidRDefault="002E38DE" w:rsidP="005862E3">
      <w:pPr>
        <w:pStyle w:val="Bullet1"/>
        <w:spacing w:line="260" w:lineRule="atLeast"/>
      </w:pPr>
      <w:r w:rsidRPr="002E38DE">
        <w:t xml:space="preserve">Venue 123 </w:t>
      </w:r>
      <w:r w:rsidR="00071BAC">
        <w:t>–</w:t>
      </w:r>
      <w:r w:rsidRPr="002E38DE">
        <w:t xml:space="preserve"> approval to operate 50 gaming machines</w:t>
      </w:r>
    </w:p>
    <w:p w14:paraId="52642FD1" w14:textId="5156B6A5" w:rsidR="002E38DE" w:rsidRPr="002E38DE" w:rsidRDefault="002E38DE" w:rsidP="005862E3">
      <w:pPr>
        <w:pStyle w:val="Bullet1"/>
        <w:spacing w:line="260" w:lineRule="atLeast"/>
      </w:pPr>
      <w:r w:rsidRPr="002E38DE">
        <w:t xml:space="preserve">Venue 456 </w:t>
      </w:r>
      <w:r w:rsidR="00071BAC">
        <w:t>–</w:t>
      </w:r>
      <w:r w:rsidRPr="002E38DE">
        <w:t xml:space="preserve"> a</w:t>
      </w:r>
      <w:r w:rsidR="000F1F50">
        <w:t>p</w:t>
      </w:r>
      <w:r w:rsidRPr="002E38DE">
        <w:t>proval to operate 50 gaming machines</w:t>
      </w:r>
    </w:p>
    <w:p w14:paraId="41191532" w14:textId="548A19ED" w:rsidR="002E38DE" w:rsidRPr="002E38DE" w:rsidRDefault="002E38DE" w:rsidP="005862E3">
      <w:pPr>
        <w:spacing w:line="260" w:lineRule="atLeast"/>
        <w:rPr>
          <w:lang w:val="en-AU"/>
        </w:rPr>
      </w:pPr>
      <w:r w:rsidRPr="002E38DE">
        <w:rPr>
          <w:lang w:val="en-AU"/>
        </w:rPr>
        <w:t>John Jones has purchased 100 entitlements and 80 gaming machines.</w:t>
      </w:r>
    </w:p>
    <w:p w14:paraId="405AA811" w14:textId="4079CE62" w:rsidR="002E38DE" w:rsidRPr="002E38DE" w:rsidRDefault="00071BAC" w:rsidP="005862E3">
      <w:pPr>
        <w:spacing w:line="260" w:lineRule="atLeast"/>
        <w:rPr>
          <w:lang w:val="en-AU"/>
        </w:rPr>
      </w:pPr>
      <w:r>
        <w:rPr>
          <w:lang w:val="en-AU"/>
        </w:rPr>
        <w:t>Forty</w:t>
      </w:r>
      <w:r w:rsidR="002E38DE" w:rsidRPr="002E38DE">
        <w:rPr>
          <w:lang w:val="en-AU"/>
        </w:rPr>
        <w:t xml:space="preserve"> gaming machines are allocated for operation in Venue 123 and 40 gaming machines are allocated to operate in Venue 456. All 40 machines are attached to each venue and are operating from 16 October to 31 October 2022.</w:t>
      </w:r>
    </w:p>
    <w:p w14:paraId="02C9461E" w14:textId="2C1AAAD8" w:rsidR="002E38DE" w:rsidRPr="002E38DE" w:rsidRDefault="002E38DE" w:rsidP="005862E3">
      <w:pPr>
        <w:spacing w:line="260" w:lineRule="atLeast"/>
        <w:rPr>
          <w:lang w:val="en-AU"/>
        </w:rPr>
      </w:pPr>
      <w:r w:rsidRPr="002E38DE">
        <w:rPr>
          <w:lang w:val="en-AU"/>
        </w:rPr>
        <w:t xml:space="preserve">Gaming tax is calculated </w:t>
      </w:r>
      <w:proofErr w:type="gramStart"/>
      <w:r w:rsidRPr="002E38DE">
        <w:rPr>
          <w:lang w:val="en-AU"/>
        </w:rPr>
        <w:t>on the basis of</w:t>
      </w:r>
      <w:proofErr w:type="gramEnd"/>
      <w:r w:rsidRPr="002E38DE">
        <w:rPr>
          <w:lang w:val="en-AU"/>
        </w:rPr>
        <w:t xml:space="preserve"> the gaming revenue and average entitlements at each individual venue.</w:t>
      </w:r>
    </w:p>
    <w:p w14:paraId="7ED2E7B0" w14:textId="0F3EF046" w:rsidR="002E38DE" w:rsidRDefault="002E38DE" w:rsidP="005862E3">
      <w:pPr>
        <w:spacing w:line="260" w:lineRule="atLeast"/>
        <w:rPr>
          <w:lang w:val="en-AU"/>
        </w:rPr>
      </w:pPr>
      <w:r w:rsidRPr="002E38DE">
        <w:rPr>
          <w:lang w:val="en-AU"/>
        </w:rPr>
        <w:t>John Jones is liable to pay separate gaming tax for each of Venue 123 and 456.</w:t>
      </w:r>
    </w:p>
    <w:p w14:paraId="7C0F3781" w14:textId="57DD2C5D" w:rsidR="002E38DE" w:rsidRPr="002E38DE" w:rsidRDefault="008B0DCD" w:rsidP="008B0DCD">
      <w:pPr>
        <w:spacing w:line="260" w:lineRule="atLeast"/>
        <w:rPr>
          <w:lang w:val="en-AU"/>
        </w:rPr>
      </w:pPr>
      <w:r>
        <w:rPr>
          <w:lang w:val="en-AU"/>
        </w:rPr>
        <w:br w:type="column"/>
      </w:r>
      <w:r w:rsidR="002E38DE" w:rsidRPr="002E38DE">
        <w:rPr>
          <w:lang w:val="en-AU"/>
        </w:rPr>
        <w:lastRenderedPageBreak/>
        <w:t>Gaming tax will be withdrawn from the nominated bank account of each gaming venue on the seventh day after the end of the month to which the tax relates. The nominated gaming account may be the same for both venues owned by John Jones.</w:t>
      </w:r>
    </w:p>
    <w:p w14:paraId="701EA0BB" w14:textId="43589C1D" w:rsidR="002E38DE" w:rsidRPr="002E38DE" w:rsidRDefault="002E38DE" w:rsidP="002E38DE">
      <w:pPr>
        <w:rPr>
          <w:lang w:val="en-AU"/>
        </w:rPr>
      </w:pPr>
      <w:r w:rsidRPr="002E38DE">
        <w:rPr>
          <w:lang w:val="en-AU"/>
        </w:rPr>
        <w:t>At each venue, the calculation of gaming tax will be based on 40 entitlements, which are attached to 40 gaming machines connected to the monitoring system and operating at the approved venue and therefore are, or may be used, to conduct gaming.</w:t>
      </w:r>
    </w:p>
    <w:p w14:paraId="0F855274" w14:textId="4807A0AA" w:rsidR="002E38DE" w:rsidRPr="002E38DE" w:rsidRDefault="008B0DCD" w:rsidP="008B0DCD">
      <w:pPr>
        <w:pStyle w:val="Heading2"/>
        <w:numPr>
          <w:ilvl w:val="0"/>
          <w:numId w:val="0"/>
        </w:numPr>
        <w:ind w:left="576" w:hanging="576"/>
        <w:rPr>
          <w:lang w:val="en-AU"/>
        </w:rPr>
      </w:pPr>
      <w:bookmarkStart w:id="29" w:name="_Toc114465566"/>
      <w:r>
        <w:rPr>
          <w:lang w:val="en-AU"/>
        </w:rPr>
        <w:t xml:space="preserve">3.4 </w:t>
      </w:r>
      <w:r w:rsidR="002E38DE" w:rsidRPr="002E38DE">
        <w:rPr>
          <w:lang w:val="en-AU"/>
        </w:rPr>
        <w:t>P</w:t>
      </w:r>
      <w:r w:rsidR="00071BAC">
        <w:rPr>
          <w:lang w:val="en-AU"/>
        </w:rPr>
        <w:t>ayment of gaming taxes</w:t>
      </w:r>
      <w:bookmarkEnd w:id="29"/>
    </w:p>
    <w:p w14:paraId="396FCAAA" w14:textId="3BF0763A" w:rsidR="002E38DE" w:rsidRPr="002E38DE" w:rsidRDefault="002E38DE" w:rsidP="002E38DE">
      <w:pPr>
        <w:rPr>
          <w:lang w:val="en-AU"/>
        </w:rPr>
      </w:pPr>
      <w:r w:rsidRPr="002E38DE">
        <w:rPr>
          <w:lang w:val="en-AU"/>
        </w:rPr>
        <w:t>The Commission will sweep the calculated taxes from venue’s nominated gaming bank accounts (authorised by venues by their completed DDA (refer section 1.8 of these requirements)). The tax payable will be swept from the nominated gaming bank accounts on the seventh day, or the next business day, after the conclusion of the calendar month.</w:t>
      </w:r>
    </w:p>
    <w:p w14:paraId="7CABBE62" w14:textId="703BA9DD" w:rsidR="002E38DE" w:rsidRPr="002E38DE" w:rsidRDefault="002E38DE" w:rsidP="002E38DE">
      <w:pPr>
        <w:rPr>
          <w:lang w:val="en-AU"/>
        </w:rPr>
      </w:pPr>
      <w:r w:rsidRPr="002E38DE">
        <w:rPr>
          <w:lang w:val="en-AU"/>
        </w:rPr>
        <w:t xml:space="preserve">The tax payable, as advised by the monitoring licensee and verified by the venue operator, must be readily available to be swept from the nominated gaming bank account on the seventh day after the conclusion of the month to which the taxes relate. </w:t>
      </w:r>
    </w:p>
    <w:p w14:paraId="006C5059" w14:textId="33662239" w:rsidR="002E38DE" w:rsidRPr="002E38DE" w:rsidRDefault="002E38DE" w:rsidP="002E38DE">
      <w:pPr>
        <w:rPr>
          <w:lang w:val="en-AU"/>
        </w:rPr>
      </w:pPr>
      <w:r w:rsidRPr="002E38DE">
        <w:rPr>
          <w:lang w:val="en-AU"/>
        </w:rPr>
        <w:t xml:space="preserve">The Commission will not collect any taxes if the full amount, as notified by the monitoring licensee, is not available for sweeping on the seventh day after the conclusion of the month. </w:t>
      </w:r>
    </w:p>
    <w:p w14:paraId="4D318A73" w14:textId="54B4B3E4" w:rsidR="002E38DE" w:rsidRPr="002E38DE" w:rsidRDefault="002E38DE" w:rsidP="002E38DE">
      <w:pPr>
        <w:rPr>
          <w:lang w:val="en-AU"/>
        </w:rPr>
      </w:pPr>
      <w:r w:rsidRPr="002E38DE">
        <w:rPr>
          <w:lang w:val="en-AU"/>
        </w:rPr>
        <w:t>Part payment of taxes due to insufficient funds in a nominated gaming account will not be accepted and enforcement action will be taken for such non-compliance.</w:t>
      </w:r>
    </w:p>
    <w:p w14:paraId="1192B317" w14:textId="4279C62E" w:rsidR="002E38DE" w:rsidRPr="002E38DE" w:rsidRDefault="002E38DE" w:rsidP="002E38DE">
      <w:pPr>
        <w:rPr>
          <w:lang w:val="en-AU"/>
        </w:rPr>
      </w:pPr>
      <w:r w:rsidRPr="002E38DE">
        <w:rPr>
          <w:lang w:val="en-AU"/>
        </w:rPr>
        <w:t>Proceedings will be initiated by the Commission to collect outstanding gaming taxes that are not remitted when due and payable. Penalties will be applied accordingly to such amounts.</w:t>
      </w:r>
    </w:p>
    <w:p w14:paraId="3D31F2BA" w14:textId="67AB80B5" w:rsidR="002E38DE" w:rsidRDefault="002E38DE" w:rsidP="002E38DE">
      <w:pPr>
        <w:rPr>
          <w:lang w:val="en-AU"/>
        </w:rPr>
      </w:pPr>
      <w:r w:rsidRPr="002E38DE">
        <w:rPr>
          <w:lang w:val="en-AU"/>
        </w:rPr>
        <w:t>Should the Commission be unable to initiate the tax sweep in line with the above condition, appropriate directions will be provided to gaming venues to remit required taxes outside the sweep process.</w:t>
      </w:r>
    </w:p>
    <w:p w14:paraId="621E16B4" w14:textId="003870B9" w:rsidR="00071BAC" w:rsidRDefault="008B0DCD" w:rsidP="008B0DCD">
      <w:pPr>
        <w:pStyle w:val="Heading2"/>
        <w:numPr>
          <w:ilvl w:val="0"/>
          <w:numId w:val="0"/>
        </w:numPr>
        <w:rPr>
          <w:lang w:val="en-AU"/>
        </w:rPr>
      </w:pPr>
      <w:r>
        <w:rPr>
          <w:lang w:val="en-AU"/>
        </w:rPr>
        <w:br w:type="column"/>
      </w:r>
      <w:bookmarkStart w:id="30" w:name="_Toc114465567"/>
      <w:r>
        <w:rPr>
          <w:lang w:val="en-AU"/>
        </w:rPr>
        <w:t xml:space="preserve">3.5 </w:t>
      </w:r>
      <w:r w:rsidR="002E38DE" w:rsidRPr="002E38DE">
        <w:rPr>
          <w:lang w:val="en-AU"/>
        </w:rPr>
        <w:t>P</w:t>
      </w:r>
      <w:r w:rsidR="00071BAC">
        <w:rPr>
          <w:lang w:val="en-AU"/>
        </w:rPr>
        <w:t>rovision of tax remittance to be collected</w:t>
      </w:r>
      <w:bookmarkEnd w:id="30"/>
    </w:p>
    <w:p w14:paraId="16DB3A68" w14:textId="4CAF571A" w:rsidR="002E38DE" w:rsidRPr="002E38DE" w:rsidRDefault="002E38DE" w:rsidP="005862E3">
      <w:pPr>
        <w:spacing w:line="260" w:lineRule="atLeast"/>
        <w:rPr>
          <w:lang w:val="en-AU"/>
        </w:rPr>
      </w:pPr>
      <w:r w:rsidRPr="002E38DE">
        <w:rPr>
          <w:lang w:val="en-AU"/>
        </w:rPr>
        <w:t>On the fifth day following the conclusion of the taxable month, the monitoring licensee will provide the Commission and the venue operator with details of the gaming taxes to be remitted by each gaming venue. The gaming venue will be required to assess the required report from the monitoring system.</w:t>
      </w:r>
    </w:p>
    <w:p w14:paraId="3A8D147C" w14:textId="4D0B7C60" w:rsidR="002E38DE" w:rsidRPr="002E38DE" w:rsidRDefault="002E38DE" w:rsidP="005862E3">
      <w:pPr>
        <w:spacing w:line="260" w:lineRule="atLeast"/>
        <w:rPr>
          <w:lang w:val="en-AU"/>
        </w:rPr>
      </w:pPr>
      <w:r w:rsidRPr="002E38DE">
        <w:rPr>
          <w:lang w:val="en-AU"/>
        </w:rPr>
        <w:t xml:space="preserve">Upon accessing the required report from the monitoring system, the venue operator must ensure that sufficient funds are available in the nominated account to be swept by the Commission on the seventh day of the month. </w:t>
      </w:r>
    </w:p>
    <w:p w14:paraId="5B81F098" w14:textId="48BB1B19" w:rsidR="002E38DE" w:rsidRPr="002E38DE" w:rsidRDefault="002E38DE" w:rsidP="005862E3">
      <w:pPr>
        <w:spacing w:line="260" w:lineRule="atLeast"/>
        <w:rPr>
          <w:lang w:val="en-AU"/>
        </w:rPr>
      </w:pPr>
      <w:r w:rsidRPr="002E38DE">
        <w:rPr>
          <w:lang w:val="en-AU"/>
        </w:rPr>
        <w:t>The Commission will sweep the gaming taxes as detailed in the monthly taxation report provided by the monitoring licensee.</w:t>
      </w:r>
    </w:p>
    <w:p w14:paraId="14D1BD41" w14:textId="270052A5" w:rsidR="00071BAC" w:rsidRDefault="008B0DCD" w:rsidP="008B0DCD">
      <w:pPr>
        <w:pStyle w:val="Heading2"/>
        <w:numPr>
          <w:ilvl w:val="0"/>
          <w:numId w:val="0"/>
        </w:numPr>
        <w:ind w:left="576" w:hanging="576"/>
        <w:rPr>
          <w:lang w:val="en-AU"/>
        </w:rPr>
      </w:pPr>
      <w:bookmarkStart w:id="31" w:name="_Toc114465568"/>
      <w:r>
        <w:rPr>
          <w:lang w:val="en-AU"/>
        </w:rPr>
        <w:t xml:space="preserve">3.6 </w:t>
      </w:r>
      <w:r w:rsidR="002E38DE" w:rsidRPr="002E38DE">
        <w:rPr>
          <w:lang w:val="en-AU"/>
        </w:rPr>
        <w:t>P</w:t>
      </w:r>
      <w:r w:rsidR="00071BAC">
        <w:rPr>
          <w:lang w:val="en-AU"/>
        </w:rPr>
        <w:t>enalties on late payment</w:t>
      </w:r>
      <w:bookmarkEnd w:id="31"/>
    </w:p>
    <w:p w14:paraId="0082CDD2" w14:textId="4D561E96" w:rsidR="002E38DE" w:rsidRPr="002E38DE" w:rsidRDefault="002E38DE" w:rsidP="005862E3">
      <w:pPr>
        <w:spacing w:line="260" w:lineRule="atLeast"/>
        <w:rPr>
          <w:lang w:val="en-AU"/>
        </w:rPr>
      </w:pPr>
      <w:r w:rsidRPr="002E38DE">
        <w:rPr>
          <w:lang w:val="en-AU"/>
        </w:rPr>
        <w:t>Section 3.6.10 of the Act requires that if an amount payable to the Commission by a venue operator that holds a gaming machine entitlement is not paid within the period within which it is required to be paid, the venue operator is liable to pay interest at the rate of 20% per annum on that amount from the date on which the payment was due until the payment is made.</w:t>
      </w:r>
    </w:p>
    <w:p w14:paraId="71C69A57" w14:textId="03C96C66" w:rsidR="002E38DE" w:rsidRPr="002E38DE" w:rsidRDefault="002E38DE" w:rsidP="005862E3">
      <w:pPr>
        <w:spacing w:line="260" w:lineRule="atLeast"/>
        <w:rPr>
          <w:lang w:val="en-AU"/>
        </w:rPr>
      </w:pPr>
      <w:r w:rsidRPr="002E38DE">
        <w:rPr>
          <w:lang w:val="en-AU"/>
        </w:rPr>
        <w:t>The Commission will provide written advice to the gaming venue should it be liable to pay penalty interest associated with late payment of taxes or incomplete calculation of taxes due to the venue’s failure to process gaming machine meter exception adjustments in a timely manner.</w:t>
      </w:r>
    </w:p>
    <w:p w14:paraId="2C48CE08" w14:textId="1612EBB5" w:rsidR="002E38DE" w:rsidRPr="002E38DE" w:rsidRDefault="002E38DE" w:rsidP="005862E3">
      <w:pPr>
        <w:spacing w:line="260" w:lineRule="atLeast"/>
        <w:rPr>
          <w:lang w:val="en-AU"/>
        </w:rPr>
      </w:pPr>
      <w:r w:rsidRPr="002E38DE">
        <w:rPr>
          <w:lang w:val="en-AU"/>
        </w:rPr>
        <w:t>Continual non-payment of taxes may result in disciplinary action being taken by the Commission, meaning the possibility of:</w:t>
      </w:r>
    </w:p>
    <w:p w14:paraId="0014D590" w14:textId="05B41687" w:rsidR="002E38DE" w:rsidRPr="002E38DE" w:rsidRDefault="002E38DE" w:rsidP="005862E3">
      <w:pPr>
        <w:pStyle w:val="Bullet1"/>
        <w:spacing w:after="140" w:line="260" w:lineRule="atLeast"/>
      </w:pPr>
      <w:r w:rsidRPr="002E38DE">
        <w:t>cancellation or suspension of the venue operator licence</w:t>
      </w:r>
    </w:p>
    <w:p w14:paraId="3A51A1D2" w14:textId="337E6B70" w:rsidR="002E38DE" w:rsidRPr="002E38DE" w:rsidRDefault="002E38DE" w:rsidP="005862E3">
      <w:pPr>
        <w:pStyle w:val="Bullet1"/>
        <w:spacing w:after="140" w:line="260" w:lineRule="atLeast"/>
      </w:pPr>
      <w:r w:rsidRPr="002E38DE">
        <w:t>variation of the conditions of the venue operator licence</w:t>
      </w:r>
    </w:p>
    <w:p w14:paraId="68B9CB15" w14:textId="6ED0DC26" w:rsidR="002E38DE" w:rsidRPr="002E38DE" w:rsidRDefault="002E38DE" w:rsidP="005862E3">
      <w:pPr>
        <w:pStyle w:val="Bullet1"/>
        <w:spacing w:after="140" w:line="260" w:lineRule="atLeast"/>
      </w:pPr>
      <w:r w:rsidRPr="002E38DE">
        <w:t>issuing of a letter of censure to the venue operator</w:t>
      </w:r>
    </w:p>
    <w:p w14:paraId="6C32AD04" w14:textId="7B5EB627" w:rsidR="005862E3" w:rsidRPr="005862E3" w:rsidRDefault="002E38DE" w:rsidP="005862E3">
      <w:pPr>
        <w:pStyle w:val="Bullet1"/>
        <w:spacing w:after="0" w:line="260" w:lineRule="atLeast"/>
      </w:pPr>
      <w:r w:rsidRPr="002E38DE">
        <w:t>imposition of a fine not exceeding 5000 times the value of a penalty unit.</w:t>
      </w:r>
    </w:p>
    <w:p w14:paraId="708E9BE7" w14:textId="77777777" w:rsidR="00071BAC" w:rsidRDefault="00071BAC" w:rsidP="005862E3">
      <w:pPr>
        <w:spacing w:after="0"/>
        <w:rPr>
          <w:lang w:val="en-AU"/>
        </w:rPr>
        <w:sectPr w:rsidR="00071BAC" w:rsidSect="00071BAC">
          <w:type w:val="continuous"/>
          <w:pgSz w:w="11900" w:h="16840"/>
          <w:pgMar w:top="1418" w:right="851" w:bottom="1814" w:left="851" w:header="709" w:footer="567" w:gutter="0"/>
          <w:cols w:num="2" w:space="720"/>
          <w:titlePg/>
          <w:docGrid w:linePitch="360"/>
        </w:sectPr>
      </w:pPr>
    </w:p>
    <w:p w14:paraId="511AC91D" w14:textId="77777777" w:rsidR="005862E3" w:rsidRPr="005862E3" w:rsidRDefault="005862E3" w:rsidP="005862E3">
      <w:pPr>
        <w:spacing w:after="0" w:line="240" w:lineRule="auto"/>
        <w:rPr>
          <w:sz w:val="2"/>
          <w:szCs w:val="2"/>
          <w:lang w:val="en-AU"/>
        </w:rPr>
      </w:pPr>
      <w:r w:rsidRPr="005862E3">
        <w:rPr>
          <w:sz w:val="2"/>
          <w:szCs w:val="2"/>
          <w:lang w:val="en-AU"/>
        </w:rPr>
        <w:br w:type="page"/>
      </w:r>
    </w:p>
    <w:p w14:paraId="42514538" w14:textId="5325EAB3" w:rsidR="00E509A0" w:rsidRDefault="008B0DCD" w:rsidP="008B0DCD">
      <w:pPr>
        <w:pStyle w:val="Heading1"/>
        <w:numPr>
          <w:ilvl w:val="0"/>
          <w:numId w:val="0"/>
        </w:numPr>
        <w:ind w:left="720" w:hanging="720"/>
      </w:pPr>
      <w:bookmarkStart w:id="32" w:name="_Toc114465569"/>
      <w:r>
        <w:lastRenderedPageBreak/>
        <w:t xml:space="preserve">4. </w:t>
      </w:r>
      <w:r w:rsidR="005862E3" w:rsidRPr="00E509A0">
        <w:t>O</w:t>
      </w:r>
      <w:r w:rsidR="00E509A0">
        <w:t>ther gaming audit requirements</w:t>
      </w:r>
      <w:bookmarkEnd w:id="32"/>
    </w:p>
    <w:p w14:paraId="5CDF82D8" w14:textId="77777777" w:rsidR="00794F9C" w:rsidRDefault="00794F9C" w:rsidP="00693ABB">
      <w:pPr>
        <w:pStyle w:val="Heading2"/>
        <w:numPr>
          <w:ilvl w:val="1"/>
          <w:numId w:val="31"/>
        </w:numPr>
        <w:sectPr w:rsidR="00794F9C" w:rsidSect="001E3173">
          <w:type w:val="continuous"/>
          <w:pgSz w:w="11900" w:h="16840"/>
          <w:pgMar w:top="1418" w:right="851" w:bottom="1814" w:left="851" w:header="709" w:footer="567" w:gutter="0"/>
          <w:cols w:space="720"/>
          <w:titlePg/>
          <w:docGrid w:linePitch="360"/>
        </w:sectPr>
      </w:pPr>
    </w:p>
    <w:p w14:paraId="1D42660E" w14:textId="5287A855" w:rsidR="007155FC" w:rsidRPr="007155FC" w:rsidRDefault="008B0DCD" w:rsidP="008B0DCD">
      <w:pPr>
        <w:pStyle w:val="Heading2"/>
        <w:numPr>
          <w:ilvl w:val="0"/>
          <w:numId w:val="0"/>
        </w:numPr>
      </w:pPr>
      <w:bookmarkStart w:id="33" w:name="_Toc114465570"/>
      <w:r>
        <w:t xml:space="preserve">4.1 </w:t>
      </w:r>
      <w:r w:rsidR="005862E3" w:rsidRPr="007155FC">
        <w:t>M</w:t>
      </w:r>
      <w:r w:rsidR="007155FC" w:rsidRPr="007155FC">
        <w:t>inimum return to players</w:t>
      </w:r>
      <w:bookmarkEnd w:id="33"/>
    </w:p>
    <w:p w14:paraId="7F8C1BC7" w14:textId="08486259" w:rsidR="005862E3" w:rsidRPr="005862E3" w:rsidRDefault="005862E3" w:rsidP="005862E3">
      <w:pPr>
        <w:rPr>
          <w:lang w:val="en-AU"/>
        </w:rPr>
      </w:pPr>
      <w:r w:rsidRPr="005862E3">
        <w:rPr>
          <w:lang w:val="en-AU"/>
        </w:rPr>
        <w:t xml:space="preserve">Section 3.6.1 of the Act requires that: </w:t>
      </w:r>
    </w:p>
    <w:p w14:paraId="0E4BDC94" w14:textId="7CA9AA5F" w:rsidR="005862E3" w:rsidRPr="005862E3" w:rsidRDefault="007155FC" w:rsidP="007155FC">
      <w:pPr>
        <w:pStyle w:val="Bullet1"/>
      </w:pPr>
      <w:r>
        <w:t xml:space="preserve">a </w:t>
      </w:r>
      <w:r w:rsidR="005862E3" w:rsidRPr="005862E3">
        <w:t xml:space="preserve">gaming operator or a venue operator who holds a gaming machine entitlement must ensure that the pay-out table on gaming machines at each venue is set </w:t>
      </w:r>
      <w:proofErr w:type="gramStart"/>
      <w:r w:rsidR="005862E3" w:rsidRPr="005862E3">
        <w:t>so as to</w:t>
      </w:r>
      <w:proofErr w:type="gramEnd"/>
      <w:r w:rsidR="005862E3" w:rsidRPr="005862E3">
        <w:t xml:space="preserve"> return to players the players' proportion of the total amounts wagered each year at that venue, after deduction of the sum of jackpot special prizes determined as prescribed and payable during that year.</w:t>
      </w:r>
    </w:p>
    <w:p w14:paraId="328B8C59" w14:textId="129B2602" w:rsidR="005862E3" w:rsidRPr="007155FC" w:rsidRDefault="007155FC" w:rsidP="005862E3">
      <w:pPr>
        <w:pStyle w:val="Bullet1"/>
      </w:pPr>
      <w:r>
        <w:t>t</w:t>
      </w:r>
      <w:r w:rsidR="005862E3" w:rsidRPr="005862E3">
        <w:t xml:space="preserve">he players’ proportion is </w:t>
      </w:r>
      <w:r>
        <w:t>n</w:t>
      </w:r>
      <w:r w:rsidR="005862E3" w:rsidRPr="007155FC">
        <w:t>ot less than 85%.</w:t>
      </w:r>
    </w:p>
    <w:p w14:paraId="01AC50C4" w14:textId="78865B76" w:rsidR="005862E3" w:rsidRPr="005862E3" w:rsidRDefault="005862E3" w:rsidP="005862E3">
      <w:pPr>
        <w:rPr>
          <w:lang w:val="en-AU"/>
        </w:rPr>
      </w:pPr>
      <w:r w:rsidRPr="005862E3">
        <w:rPr>
          <w:lang w:val="en-AU"/>
        </w:rPr>
        <w:t>It is the responsibility of the venue operator to have adequate procedures and periodic reconciliation in place to ensure that the above section of the Act is adhered to by the conclusion of the calendar year. Furthermore, as required by the Act, only variations of games with their specified payout tables approved by the Commission are to be conducted on gaming machines.</w:t>
      </w:r>
    </w:p>
    <w:p w14:paraId="6EB5A78C" w14:textId="537988EA" w:rsidR="005862E3" w:rsidRPr="005862E3" w:rsidRDefault="005862E3" w:rsidP="005862E3">
      <w:pPr>
        <w:rPr>
          <w:lang w:val="en-AU"/>
        </w:rPr>
      </w:pPr>
      <w:r w:rsidRPr="005862E3">
        <w:rPr>
          <w:lang w:val="en-AU"/>
        </w:rPr>
        <w:t>Action must be taken by the venue, prior to the end of the year, to ensure that the total return from all attached gaming machines within the venue return the prescribed amount to the players.</w:t>
      </w:r>
    </w:p>
    <w:p w14:paraId="31931F56" w14:textId="41D96983" w:rsidR="005862E3" w:rsidRPr="005862E3" w:rsidRDefault="007155FC" w:rsidP="007155FC">
      <w:pPr>
        <w:pStyle w:val="BreakouttextBlue"/>
      </w:pPr>
      <w:r w:rsidRPr="007155FC">
        <w:rPr>
          <w:b/>
          <w:bCs/>
        </w:rPr>
        <w:t>A</w:t>
      </w:r>
      <w:r w:rsidR="00FB1B1C">
        <w:rPr>
          <w:b/>
          <w:bCs/>
        </w:rPr>
        <w:t>ppendix</w:t>
      </w:r>
      <w:r w:rsidR="005862E3" w:rsidRPr="007155FC">
        <w:rPr>
          <w:b/>
          <w:bCs/>
        </w:rPr>
        <w:t xml:space="preserve"> 5 </w:t>
      </w:r>
      <w:r w:rsidR="005862E3" w:rsidRPr="005862E3">
        <w:t>provides an example of a suggested schedule to be u</w:t>
      </w:r>
      <w:r>
        <w:t>s</w:t>
      </w:r>
      <w:r w:rsidR="005862E3" w:rsidRPr="005862E3">
        <w:t xml:space="preserve">ed by the venue operator </w:t>
      </w:r>
      <w:r w:rsidR="000F1F50" w:rsidRPr="005862E3">
        <w:t>to</w:t>
      </w:r>
      <w:r w:rsidR="005862E3" w:rsidRPr="005862E3">
        <w:t xml:space="preserve"> ensure adherence to the minimum return to players requirement.</w:t>
      </w:r>
    </w:p>
    <w:p w14:paraId="23C502C5" w14:textId="624FFA74" w:rsidR="007155FC" w:rsidRPr="007155FC" w:rsidRDefault="008B0DCD" w:rsidP="008B0DCD">
      <w:pPr>
        <w:pStyle w:val="Heading2"/>
        <w:numPr>
          <w:ilvl w:val="0"/>
          <w:numId w:val="0"/>
        </w:numPr>
      </w:pPr>
      <w:bookmarkStart w:id="34" w:name="_Toc114465571"/>
      <w:r>
        <w:t xml:space="preserve">4.2 </w:t>
      </w:r>
      <w:r w:rsidR="007155FC" w:rsidRPr="007155FC">
        <w:t>Supervision of the gaming machine area</w:t>
      </w:r>
      <w:bookmarkEnd w:id="34"/>
    </w:p>
    <w:p w14:paraId="2662B18B" w14:textId="10C0E42F" w:rsidR="005862E3" w:rsidRPr="005862E3" w:rsidRDefault="005862E3" w:rsidP="005862E3">
      <w:pPr>
        <w:rPr>
          <w:lang w:val="en-AU"/>
        </w:rPr>
      </w:pPr>
      <w:r w:rsidRPr="005862E3">
        <w:rPr>
          <w:lang w:val="en-AU"/>
        </w:rPr>
        <w:t xml:space="preserve">In line with </w:t>
      </w:r>
      <w:r w:rsidR="007155FC">
        <w:rPr>
          <w:lang w:val="en-AU"/>
        </w:rPr>
        <w:t>r</w:t>
      </w:r>
      <w:r w:rsidRPr="005862E3">
        <w:rPr>
          <w:lang w:val="en-AU"/>
        </w:rPr>
        <w:t xml:space="preserve">ule 4 of the </w:t>
      </w:r>
      <w:r w:rsidRPr="00823F21">
        <w:rPr>
          <w:lang w:val="en-AU"/>
        </w:rPr>
        <w:t>Victorian Commission for Gambling Regulation Rules</w:t>
      </w:r>
      <w:r w:rsidR="007155FC" w:rsidRPr="00823F21">
        <w:rPr>
          <w:lang w:val="en-AU"/>
        </w:rPr>
        <w:t>,</w:t>
      </w:r>
      <w:r w:rsidRPr="005862E3">
        <w:rPr>
          <w:lang w:val="en-AU"/>
        </w:rPr>
        <w:t xml:space="preserve"> a venue operator must ensure that the operation of the gaming machine area and each gaming machine is subject to continual supervision. Supervision must be electronic</w:t>
      </w:r>
      <w:r w:rsidR="007155FC">
        <w:rPr>
          <w:lang w:val="en-AU"/>
        </w:rPr>
        <w:t>,</w:t>
      </w:r>
      <w:r w:rsidRPr="005862E3">
        <w:rPr>
          <w:lang w:val="en-AU"/>
        </w:rPr>
        <w:t xml:space="preserve"> physical or a combination of both.</w:t>
      </w:r>
    </w:p>
    <w:p w14:paraId="01ADADF3" w14:textId="314828A8" w:rsidR="005862E3" w:rsidRPr="005862E3" w:rsidRDefault="008B0DCD" w:rsidP="005862E3">
      <w:pPr>
        <w:rPr>
          <w:lang w:val="en-AU"/>
        </w:rPr>
      </w:pPr>
      <w:r>
        <w:rPr>
          <w:lang w:val="en-AU"/>
        </w:rPr>
        <w:br w:type="column"/>
      </w:r>
      <w:r w:rsidR="005862E3" w:rsidRPr="005862E3">
        <w:rPr>
          <w:lang w:val="en-AU"/>
        </w:rPr>
        <w:t>Constant supervision of all areas within the gaming machine area, in particular the operation of each gaming machine, cashier terminal and credit redemption terminal, will provide a tool to enable venue operators and the Commission to identify a person tampering with or attempting to tamper with gaming equipment; and to aid in resolving patron disputes.</w:t>
      </w:r>
    </w:p>
    <w:p w14:paraId="04D898C4" w14:textId="046952DA" w:rsidR="007155FC" w:rsidRPr="007155FC" w:rsidRDefault="007155FC" w:rsidP="007155FC">
      <w:pPr>
        <w:pStyle w:val="Heading3"/>
      </w:pPr>
      <w:r w:rsidRPr="007155FC">
        <w:t>Electronic (CCTV) security requirements</w:t>
      </w:r>
    </w:p>
    <w:p w14:paraId="0A185354" w14:textId="40D105A7" w:rsidR="005862E3" w:rsidRPr="005862E3" w:rsidRDefault="005862E3" w:rsidP="005862E3">
      <w:pPr>
        <w:rPr>
          <w:lang w:val="en-AU"/>
        </w:rPr>
      </w:pPr>
      <w:r w:rsidRPr="005862E3">
        <w:rPr>
          <w:lang w:val="en-AU"/>
        </w:rPr>
        <w:t xml:space="preserve">To ensure compliance with the </w:t>
      </w:r>
      <w:r w:rsidR="007155FC">
        <w:rPr>
          <w:lang w:val="en-AU"/>
        </w:rPr>
        <w:t>ru</w:t>
      </w:r>
      <w:r w:rsidRPr="005862E3">
        <w:rPr>
          <w:lang w:val="en-AU"/>
        </w:rPr>
        <w:t>les, in relation to a venue’s gaming machine area, the CCTV system must:</w:t>
      </w:r>
    </w:p>
    <w:p w14:paraId="62417DE1" w14:textId="2D28AAD3" w:rsidR="005862E3" w:rsidRPr="005862E3" w:rsidRDefault="007155FC" w:rsidP="007155FC">
      <w:pPr>
        <w:pStyle w:val="Bullet1"/>
      </w:pPr>
      <w:r>
        <w:t>r</w:t>
      </w:r>
      <w:r w:rsidR="005862E3" w:rsidRPr="005862E3">
        <w:t xml:space="preserve">ecord continuously (defined as without interruption, </w:t>
      </w:r>
      <w:r w:rsidR="008D65E9" w:rsidRPr="005862E3">
        <w:t>i.e.,</w:t>
      </w:r>
      <w:r w:rsidR="005862E3" w:rsidRPr="005862E3">
        <w:t xml:space="preserve"> not motion detection) – 24 hours a day, 7 days a week</w:t>
      </w:r>
    </w:p>
    <w:p w14:paraId="0586FBB5" w14:textId="0BFE8109" w:rsidR="005862E3" w:rsidRPr="005862E3" w:rsidRDefault="007155FC" w:rsidP="007155FC">
      <w:pPr>
        <w:pStyle w:val="Bullet1"/>
      </w:pPr>
      <w:r>
        <w:t>r</w:t>
      </w:r>
      <w:r w:rsidR="005862E3" w:rsidRPr="005862E3">
        <w:t>ecord at a minimum rate of 6 frames per second</w:t>
      </w:r>
    </w:p>
    <w:p w14:paraId="2672EF80" w14:textId="685CAB4E" w:rsidR="005862E3" w:rsidRPr="005862E3" w:rsidRDefault="007155FC" w:rsidP="007155FC">
      <w:pPr>
        <w:pStyle w:val="Bullet1"/>
      </w:pPr>
      <w:r>
        <w:t>h</w:t>
      </w:r>
      <w:r w:rsidR="005862E3" w:rsidRPr="005862E3">
        <w:t>ave auto-embedded time, date, and camera ID on all pictures</w:t>
      </w:r>
    </w:p>
    <w:p w14:paraId="225AC370" w14:textId="0114C8AB" w:rsidR="005862E3" w:rsidRPr="005862E3" w:rsidRDefault="007155FC" w:rsidP="007155FC">
      <w:pPr>
        <w:pStyle w:val="Bullet1"/>
      </w:pPr>
      <w:r>
        <w:t>s</w:t>
      </w:r>
      <w:r w:rsidR="005862E3" w:rsidRPr="005862E3">
        <w:t>tore images at an adequate resolution and picture quality to enable the identification of an individual, at all entrances and exits and at the cashier station and within the gaming machine area, and the identification of each gaming machine</w:t>
      </w:r>
    </w:p>
    <w:p w14:paraId="52450C0F" w14:textId="45FBEB65" w:rsidR="005862E3" w:rsidRPr="005862E3" w:rsidRDefault="007155FC" w:rsidP="007155FC">
      <w:pPr>
        <w:pStyle w:val="Bullet1"/>
      </w:pPr>
      <w:r>
        <w:t>r</w:t>
      </w:r>
      <w:r w:rsidR="005862E3" w:rsidRPr="005862E3">
        <w:t xml:space="preserve">etain recorded images of the gaming machine area for a minimum of 28 days, unless the venue’s </w:t>
      </w:r>
      <w:r>
        <w:t>l</w:t>
      </w:r>
      <w:r w:rsidR="005862E3" w:rsidRPr="005862E3">
        <w:t xml:space="preserve">iquor </w:t>
      </w:r>
      <w:r>
        <w:t>l</w:t>
      </w:r>
      <w:r w:rsidR="005862E3" w:rsidRPr="005862E3">
        <w:t>icence or other regulatory requirement specifies a greater length of retention, in which case the greater length of retention applies. Should any complaint or investigation occur before destruction of recorded images, relevant images must be retained until the issue has been resolved.</w:t>
      </w:r>
    </w:p>
    <w:p w14:paraId="32B55FA2" w14:textId="77777777" w:rsidR="00794F9C" w:rsidRDefault="00794F9C" w:rsidP="007155FC">
      <w:pPr>
        <w:pStyle w:val="Heading3"/>
        <w:rPr>
          <w:lang w:val="en-AU"/>
        </w:rPr>
      </w:pPr>
      <w:r>
        <w:rPr>
          <w:lang w:val="en-AU"/>
        </w:rPr>
        <w:br w:type="page"/>
      </w:r>
    </w:p>
    <w:p w14:paraId="36B50304" w14:textId="1D892DF9" w:rsidR="005862E3" w:rsidRPr="005862E3" w:rsidRDefault="007155FC" w:rsidP="007155FC">
      <w:pPr>
        <w:pStyle w:val="Heading3"/>
        <w:rPr>
          <w:lang w:val="en-AU"/>
        </w:rPr>
      </w:pPr>
      <w:r>
        <w:rPr>
          <w:lang w:val="en-AU"/>
        </w:rPr>
        <w:lastRenderedPageBreak/>
        <w:t>Physical supervision</w:t>
      </w:r>
    </w:p>
    <w:p w14:paraId="59418964" w14:textId="3435A9EC" w:rsidR="005862E3" w:rsidRPr="005862E3" w:rsidRDefault="005862E3" w:rsidP="005862E3">
      <w:pPr>
        <w:rPr>
          <w:lang w:val="en-AU"/>
        </w:rPr>
      </w:pPr>
      <w:r w:rsidRPr="005862E3">
        <w:rPr>
          <w:lang w:val="en-AU"/>
        </w:rPr>
        <w:t xml:space="preserve">A licensed </w:t>
      </w:r>
      <w:r w:rsidR="007155FC">
        <w:rPr>
          <w:lang w:val="en-AU"/>
        </w:rPr>
        <w:t>g</w:t>
      </w:r>
      <w:r w:rsidRPr="005862E3">
        <w:rPr>
          <w:lang w:val="en-AU"/>
        </w:rPr>
        <w:t xml:space="preserve">aming </w:t>
      </w:r>
      <w:r w:rsidR="007155FC">
        <w:rPr>
          <w:lang w:val="en-AU"/>
        </w:rPr>
        <w:t>i</w:t>
      </w:r>
      <w:r w:rsidRPr="005862E3">
        <w:rPr>
          <w:lang w:val="en-AU"/>
        </w:rPr>
        <w:t xml:space="preserve">ndustry </w:t>
      </w:r>
      <w:r w:rsidR="007155FC">
        <w:rPr>
          <w:lang w:val="en-AU"/>
        </w:rPr>
        <w:t>e</w:t>
      </w:r>
      <w:r w:rsidRPr="005862E3">
        <w:rPr>
          <w:lang w:val="en-AU"/>
        </w:rPr>
        <w:t xml:space="preserve">mployee (GIE) must be on hand to conduct prescribed duties as defined in </w:t>
      </w:r>
      <w:r w:rsidR="007155FC">
        <w:rPr>
          <w:lang w:val="en-AU"/>
        </w:rPr>
        <w:t>p</w:t>
      </w:r>
      <w:r w:rsidRPr="005862E3">
        <w:rPr>
          <w:lang w:val="en-AU"/>
        </w:rPr>
        <w:t>art 7 of the Gambling Regulations 2015. Such duties include:</w:t>
      </w:r>
    </w:p>
    <w:p w14:paraId="4240B278" w14:textId="08ACD149" w:rsidR="005862E3" w:rsidRPr="005862E3" w:rsidRDefault="005862E3" w:rsidP="007155FC">
      <w:pPr>
        <w:pStyle w:val="Bullet1"/>
      </w:pPr>
      <w:r w:rsidRPr="005862E3">
        <w:t xml:space="preserve">any task that requires access to the logic area of a gaming machine </w:t>
      </w:r>
    </w:p>
    <w:p w14:paraId="470B8A13" w14:textId="349F1C37" w:rsidR="005862E3" w:rsidRPr="005862E3" w:rsidRDefault="007155FC" w:rsidP="007155FC">
      <w:pPr>
        <w:pStyle w:val="Bullet1"/>
      </w:pPr>
      <w:r>
        <w:t>possessing</w:t>
      </w:r>
      <w:r w:rsidR="005862E3" w:rsidRPr="005862E3">
        <w:t xml:space="preserve"> keys that unlock the logic area of a gaming machine</w:t>
      </w:r>
    </w:p>
    <w:p w14:paraId="20BCC4A2" w14:textId="17665A93" w:rsidR="005862E3" w:rsidRPr="005862E3" w:rsidRDefault="005862E3" w:rsidP="007155FC">
      <w:pPr>
        <w:pStyle w:val="Bullet1"/>
      </w:pPr>
      <w:r w:rsidRPr="005862E3">
        <w:t xml:space="preserve">issuing logic keys to another person holding a </w:t>
      </w:r>
      <w:r w:rsidR="007155FC">
        <w:t>GIE</w:t>
      </w:r>
      <w:r w:rsidRPr="005862E3">
        <w:t xml:space="preserve"> licence </w:t>
      </w:r>
    </w:p>
    <w:p w14:paraId="07BEF459" w14:textId="4AFAEC07" w:rsidR="007155FC" w:rsidRPr="005862E3" w:rsidRDefault="007155FC" w:rsidP="007155FC">
      <w:pPr>
        <w:pStyle w:val="Bullet1"/>
      </w:pPr>
      <w:r w:rsidRPr="005862E3">
        <w:t>supervis</w:t>
      </w:r>
      <w:r>
        <w:t>ing</w:t>
      </w:r>
      <w:r w:rsidRPr="005862E3">
        <w:t xml:space="preserve"> persons carrying out </w:t>
      </w:r>
      <w:r>
        <w:t>the above</w:t>
      </w:r>
      <w:r w:rsidRPr="005862E3">
        <w:t xml:space="preserve"> duties at an approved venue</w:t>
      </w:r>
    </w:p>
    <w:p w14:paraId="04D04A81" w14:textId="330415D8" w:rsidR="005862E3" w:rsidRPr="005862E3" w:rsidRDefault="005862E3" w:rsidP="007155FC">
      <w:pPr>
        <w:pStyle w:val="Bullet1"/>
      </w:pPr>
      <w:r w:rsidRPr="005862E3">
        <w:t>perform</w:t>
      </w:r>
      <w:r w:rsidR="007155FC">
        <w:t>ing</w:t>
      </w:r>
      <w:r w:rsidRPr="005862E3">
        <w:t xml:space="preserve"> any task that requires access to any a jackpot interface board (JIB) or EGM interface board within a gaming machine</w:t>
      </w:r>
      <w:r w:rsidR="007155FC">
        <w:t>.</w:t>
      </w:r>
    </w:p>
    <w:p w14:paraId="61AA4004" w14:textId="4CAD6529" w:rsidR="005862E3" w:rsidRPr="005862E3" w:rsidRDefault="005862E3" w:rsidP="005862E3">
      <w:pPr>
        <w:rPr>
          <w:lang w:val="en-AU"/>
        </w:rPr>
      </w:pPr>
      <w:r w:rsidRPr="005862E3">
        <w:rPr>
          <w:lang w:val="en-AU"/>
        </w:rPr>
        <w:t xml:space="preserve">To adhere to the above regulation, at least one licensed </w:t>
      </w:r>
      <w:r w:rsidR="007155FC">
        <w:rPr>
          <w:lang w:val="en-AU"/>
        </w:rPr>
        <w:t>GIE</w:t>
      </w:r>
      <w:r w:rsidRPr="005862E3">
        <w:rPr>
          <w:lang w:val="en-AU"/>
        </w:rPr>
        <w:t xml:space="preserve"> must </w:t>
      </w:r>
      <w:proofErr w:type="gramStart"/>
      <w:r w:rsidRPr="005862E3">
        <w:rPr>
          <w:lang w:val="en-AU"/>
        </w:rPr>
        <w:t>be on duty at all times</w:t>
      </w:r>
      <w:proofErr w:type="gramEnd"/>
      <w:r w:rsidRPr="005862E3">
        <w:rPr>
          <w:lang w:val="en-AU"/>
        </w:rPr>
        <w:t xml:space="preserve"> to assist, supervise and perform prescribed duties.</w:t>
      </w:r>
    </w:p>
    <w:p w14:paraId="3EB72672" w14:textId="330EB2BB" w:rsidR="005862E3" w:rsidRPr="005862E3" w:rsidRDefault="005862E3" w:rsidP="005862E3">
      <w:pPr>
        <w:rPr>
          <w:lang w:val="en-AU"/>
        </w:rPr>
      </w:pPr>
      <w:r w:rsidRPr="005862E3">
        <w:rPr>
          <w:lang w:val="en-AU"/>
        </w:rPr>
        <w:t xml:space="preserve">Notwithstanding this minimum GIE staffing requirement, venue operators are expected to ensure that staffing levels within a gaming machine area are adequate to ensure all legislative requirements associated with the proper supervision and conduct of gaming </w:t>
      </w:r>
      <w:proofErr w:type="gramStart"/>
      <w:r w:rsidRPr="005862E3">
        <w:rPr>
          <w:lang w:val="en-AU"/>
        </w:rPr>
        <w:t>are able to</w:t>
      </w:r>
      <w:proofErr w:type="gramEnd"/>
      <w:r w:rsidRPr="005862E3">
        <w:rPr>
          <w:lang w:val="en-AU"/>
        </w:rPr>
        <w:t xml:space="preserve"> be met.</w:t>
      </w:r>
    </w:p>
    <w:p w14:paraId="30F43DEE" w14:textId="4105B3CB" w:rsidR="007155FC" w:rsidRPr="007155FC" w:rsidRDefault="008B0DCD" w:rsidP="008B0DCD">
      <w:pPr>
        <w:pStyle w:val="Heading2"/>
        <w:numPr>
          <w:ilvl w:val="0"/>
          <w:numId w:val="0"/>
        </w:numPr>
      </w:pPr>
      <w:bookmarkStart w:id="35" w:name="_Toc114465572"/>
      <w:r>
        <w:t xml:space="preserve">4.3 </w:t>
      </w:r>
      <w:r w:rsidR="005862E3" w:rsidRPr="007155FC">
        <w:t>A</w:t>
      </w:r>
      <w:r w:rsidR="007155FC" w:rsidRPr="007155FC">
        <w:t>ppropriate documentation to support adherence to requirement</w:t>
      </w:r>
      <w:bookmarkEnd w:id="35"/>
    </w:p>
    <w:p w14:paraId="625AE1A1" w14:textId="4254EDB5" w:rsidR="005862E3" w:rsidRPr="005862E3" w:rsidRDefault="005862E3" w:rsidP="005862E3">
      <w:pPr>
        <w:rPr>
          <w:lang w:val="en-AU"/>
        </w:rPr>
      </w:pPr>
      <w:r w:rsidRPr="005862E3">
        <w:rPr>
          <w:lang w:val="en-AU"/>
        </w:rPr>
        <w:t xml:space="preserve">A venue operator must maintain documentation to ensure adherence to all sections of these Accounting and Auditing Venue Requirements and in a manner that can be audited by the Commission. </w:t>
      </w:r>
    </w:p>
    <w:p w14:paraId="26E20EC1" w14:textId="7C00B60C" w:rsidR="005862E3" w:rsidRPr="005862E3" w:rsidRDefault="005862E3" w:rsidP="005862E3">
      <w:pPr>
        <w:rPr>
          <w:lang w:val="en-AU"/>
        </w:rPr>
      </w:pPr>
      <w:r w:rsidRPr="005862E3">
        <w:rPr>
          <w:lang w:val="en-AU"/>
        </w:rPr>
        <w:t>Documentation will be reviewed periodically by the Commission and appropriate recommendations will be made to the venue operator if the documentation maintained does not allow for efficient and effective auditing practices.</w:t>
      </w:r>
    </w:p>
    <w:p w14:paraId="4E490924" w14:textId="77777777" w:rsidR="008B0DCD" w:rsidRDefault="005862E3" w:rsidP="008B0DCD">
      <w:pPr>
        <w:rPr>
          <w:lang w:val="en-AU"/>
        </w:rPr>
      </w:pPr>
      <w:r w:rsidRPr="005862E3">
        <w:rPr>
          <w:lang w:val="en-AU"/>
        </w:rPr>
        <w:t>If a venue operator does not take appropriate action to rectify their practices as required by the Commission, disciplinary action may be taken against the venue operator.</w:t>
      </w:r>
    </w:p>
    <w:p w14:paraId="605592F1" w14:textId="6C428083" w:rsidR="007155FC" w:rsidRDefault="008B0DCD" w:rsidP="008B0DCD">
      <w:pPr>
        <w:pStyle w:val="Heading2"/>
        <w:numPr>
          <w:ilvl w:val="0"/>
          <w:numId w:val="0"/>
        </w:numPr>
        <w:ind w:left="576" w:hanging="576"/>
      </w:pPr>
      <w:r>
        <w:rPr>
          <w:lang w:val="en-AU"/>
        </w:rPr>
        <w:br w:type="column"/>
      </w:r>
      <w:bookmarkStart w:id="36" w:name="_Toc114465573"/>
      <w:r>
        <w:t xml:space="preserve">4.4 </w:t>
      </w:r>
      <w:r w:rsidR="007155FC">
        <w:t>Hours of gaming operation</w:t>
      </w:r>
      <w:bookmarkEnd w:id="36"/>
    </w:p>
    <w:p w14:paraId="5704C475" w14:textId="2DED1FCD" w:rsidR="005862E3" w:rsidRPr="005862E3" w:rsidRDefault="005862E3" w:rsidP="005862E3">
      <w:pPr>
        <w:rPr>
          <w:lang w:val="en-AU"/>
        </w:rPr>
      </w:pPr>
      <w:r w:rsidRPr="005862E3">
        <w:rPr>
          <w:lang w:val="en-AU"/>
        </w:rPr>
        <w:t>As required under section 3.3.9 of the Act, a venue operator must ensure there is a continuous four-hour break from gaming after every 20 hours of gaming. There must not be more than 20 hours of gaming each day.</w:t>
      </w:r>
    </w:p>
    <w:p w14:paraId="07019F1B" w14:textId="7FCB1C83" w:rsidR="005862E3" w:rsidRPr="005862E3" w:rsidRDefault="005862E3" w:rsidP="005862E3">
      <w:pPr>
        <w:rPr>
          <w:lang w:val="en-AU"/>
        </w:rPr>
      </w:pPr>
      <w:r w:rsidRPr="005862E3">
        <w:rPr>
          <w:lang w:val="en-AU"/>
        </w:rPr>
        <w:t>This does not apply to premises on any day or date specified in an approval of premises or in a venue operator’s licence as a day on which 24</w:t>
      </w:r>
      <w:r w:rsidR="007155FC">
        <w:rPr>
          <w:lang w:val="en-AU"/>
        </w:rPr>
        <w:t>-</w:t>
      </w:r>
      <w:r w:rsidRPr="005862E3">
        <w:rPr>
          <w:lang w:val="en-AU"/>
        </w:rPr>
        <w:t>hour gaming is permitted on the premises.</w:t>
      </w:r>
    </w:p>
    <w:p w14:paraId="7BA20C9D" w14:textId="3C4801C1" w:rsidR="007155FC" w:rsidRDefault="008B0DCD" w:rsidP="008B0DCD">
      <w:pPr>
        <w:pStyle w:val="Heading2"/>
        <w:numPr>
          <w:ilvl w:val="0"/>
          <w:numId w:val="0"/>
        </w:numPr>
        <w:ind w:left="576" w:hanging="576"/>
      </w:pPr>
      <w:bookmarkStart w:id="37" w:name="_Toc114465574"/>
      <w:r>
        <w:t xml:space="preserve">4.5 </w:t>
      </w:r>
      <w:r w:rsidR="007155FC">
        <w:t>Malfunction of gaming machines</w:t>
      </w:r>
      <w:bookmarkEnd w:id="37"/>
    </w:p>
    <w:p w14:paraId="6BDB79EB" w14:textId="791B368D" w:rsidR="005862E3" w:rsidRPr="005862E3" w:rsidRDefault="005862E3" w:rsidP="005862E3">
      <w:pPr>
        <w:rPr>
          <w:lang w:val="en-AU"/>
        </w:rPr>
      </w:pPr>
      <w:r w:rsidRPr="005862E3">
        <w:rPr>
          <w:lang w:val="en-AU"/>
        </w:rPr>
        <w:t>As required under section 3.5.20 of the Act, a venue operator must ensure that it does not pay, or allow payment to be made to, a person in respect of a bet made or gaming machine credits accumulated on a gaming machine if the operator or employee reasonably suspects that the gaming machine or any related gaming equipment failed to function in the manner in which it was designed and programmed to function.</w:t>
      </w:r>
    </w:p>
    <w:p w14:paraId="1F335AB6" w14:textId="59464D95" w:rsidR="005862E3" w:rsidRPr="005862E3" w:rsidRDefault="005862E3" w:rsidP="005862E3">
      <w:pPr>
        <w:rPr>
          <w:lang w:val="en-AU"/>
        </w:rPr>
      </w:pPr>
      <w:r w:rsidRPr="005862E3">
        <w:rPr>
          <w:lang w:val="en-AU"/>
        </w:rPr>
        <w:t>In the event of a dispute over a refusal to pay in the circumstances referred to above, the entitlement holder must resolve the dispute in accordance with procedures approved by the Commission.</w:t>
      </w:r>
    </w:p>
    <w:p w14:paraId="3716A234" w14:textId="1AA9AD3A" w:rsidR="00794F9C" w:rsidRDefault="008B0DCD" w:rsidP="008B0DCD">
      <w:pPr>
        <w:pStyle w:val="Heading2"/>
        <w:numPr>
          <w:ilvl w:val="0"/>
          <w:numId w:val="0"/>
        </w:numPr>
        <w:ind w:left="576" w:hanging="576"/>
      </w:pPr>
      <w:bookmarkStart w:id="38" w:name="_Toc114465575"/>
      <w:r>
        <w:t xml:space="preserve">4.6 </w:t>
      </w:r>
      <w:r w:rsidR="00794F9C">
        <w:t>Patron dispute procedures</w:t>
      </w:r>
      <w:bookmarkEnd w:id="38"/>
    </w:p>
    <w:p w14:paraId="2ED065BB" w14:textId="46647B76" w:rsidR="005862E3" w:rsidRPr="005862E3" w:rsidRDefault="005862E3" w:rsidP="005862E3">
      <w:pPr>
        <w:rPr>
          <w:lang w:val="en-AU"/>
        </w:rPr>
      </w:pPr>
      <w:r w:rsidRPr="005862E3">
        <w:rPr>
          <w:lang w:val="en-AU"/>
        </w:rPr>
        <w:t xml:space="preserve">Under section 3.5.23 of the Act, the Commission may make rules for or with respect to </w:t>
      </w:r>
      <w:r w:rsidR="00794F9C">
        <w:rPr>
          <w:lang w:val="en-AU"/>
        </w:rPr>
        <w:t>p</w:t>
      </w:r>
      <w:r w:rsidRPr="005862E3">
        <w:rPr>
          <w:lang w:val="en-AU"/>
        </w:rPr>
        <w:t>rocedures for the resolution of disputes concerning payment of winnings from gaming in an approved venue.</w:t>
      </w:r>
    </w:p>
    <w:p w14:paraId="7F0EE777" w14:textId="6ACA7FF9" w:rsidR="005862E3" w:rsidRPr="005862E3" w:rsidRDefault="005862E3" w:rsidP="005862E3">
      <w:pPr>
        <w:rPr>
          <w:lang w:val="en-AU"/>
        </w:rPr>
      </w:pPr>
      <w:r w:rsidRPr="005862E3">
        <w:rPr>
          <w:lang w:val="en-AU"/>
        </w:rPr>
        <w:t xml:space="preserve">The Commission approved </w:t>
      </w:r>
      <w:r w:rsidR="00794F9C">
        <w:rPr>
          <w:lang w:val="en-AU"/>
        </w:rPr>
        <w:t>d</w:t>
      </w:r>
      <w:r w:rsidRPr="005862E3">
        <w:rPr>
          <w:lang w:val="en-AU"/>
        </w:rPr>
        <w:t xml:space="preserve">ispute </w:t>
      </w:r>
      <w:r w:rsidR="00794F9C">
        <w:rPr>
          <w:lang w:val="en-AU"/>
        </w:rPr>
        <w:t>r</w:t>
      </w:r>
      <w:r w:rsidRPr="005862E3">
        <w:rPr>
          <w:lang w:val="en-AU"/>
        </w:rPr>
        <w:t xml:space="preserve">esolution </w:t>
      </w:r>
      <w:r w:rsidR="00794F9C">
        <w:rPr>
          <w:lang w:val="en-AU"/>
        </w:rPr>
        <w:t>p</w:t>
      </w:r>
      <w:r w:rsidRPr="005862E3">
        <w:rPr>
          <w:lang w:val="en-AU"/>
        </w:rPr>
        <w:t>rocedures</w:t>
      </w:r>
      <w:r w:rsidR="00794F9C">
        <w:rPr>
          <w:lang w:val="en-AU"/>
        </w:rPr>
        <w:t xml:space="preserve"> are available in the </w:t>
      </w:r>
      <w:r w:rsidRPr="005862E3">
        <w:rPr>
          <w:lang w:val="en-AU"/>
        </w:rPr>
        <w:t>VGCCC Venue Manual</w:t>
      </w:r>
      <w:r w:rsidR="00794F9C" w:rsidRPr="00794F9C">
        <w:rPr>
          <w:lang w:val="en-AU"/>
        </w:rPr>
        <w:t xml:space="preserve"> </w:t>
      </w:r>
      <w:r w:rsidR="00794F9C">
        <w:rPr>
          <w:lang w:val="en-AU"/>
        </w:rPr>
        <w:t>(</w:t>
      </w:r>
      <w:r w:rsidR="00794F9C" w:rsidRPr="005862E3">
        <w:rPr>
          <w:lang w:val="en-AU"/>
        </w:rPr>
        <w:t xml:space="preserve">Venue </w:t>
      </w:r>
      <w:r w:rsidR="00794F9C">
        <w:rPr>
          <w:lang w:val="en-AU"/>
        </w:rPr>
        <w:t>o</w:t>
      </w:r>
      <w:r w:rsidR="00794F9C" w:rsidRPr="005862E3">
        <w:rPr>
          <w:lang w:val="en-AU"/>
        </w:rPr>
        <w:t xml:space="preserve">perational </w:t>
      </w:r>
      <w:r w:rsidR="00794F9C">
        <w:rPr>
          <w:lang w:val="en-AU"/>
        </w:rPr>
        <w:t>r</w:t>
      </w:r>
      <w:r w:rsidR="00794F9C" w:rsidRPr="005862E3">
        <w:rPr>
          <w:lang w:val="en-AU"/>
        </w:rPr>
        <w:t>equirements chapter</w:t>
      </w:r>
      <w:r w:rsidR="00794F9C">
        <w:rPr>
          <w:lang w:val="en-AU"/>
        </w:rPr>
        <w:t>)</w:t>
      </w:r>
      <w:r w:rsidR="00794F9C" w:rsidRPr="005862E3">
        <w:rPr>
          <w:lang w:val="en-AU"/>
        </w:rPr>
        <w:t xml:space="preserve"> at www.vgccc.vic.gov.au</w:t>
      </w:r>
      <w:r w:rsidRPr="005862E3">
        <w:rPr>
          <w:lang w:val="en-AU"/>
        </w:rPr>
        <w:t xml:space="preserve">. </w:t>
      </w:r>
    </w:p>
    <w:p w14:paraId="79D2AC33" w14:textId="3CF46D24" w:rsidR="005862E3" w:rsidRPr="005862E3" w:rsidRDefault="005862E3" w:rsidP="005862E3">
      <w:pPr>
        <w:rPr>
          <w:lang w:val="en-AU"/>
        </w:rPr>
      </w:pPr>
      <w:r w:rsidRPr="005862E3">
        <w:rPr>
          <w:lang w:val="en-AU"/>
        </w:rPr>
        <w:t xml:space="preserve">Section 5.4 contains information regarding patron disputes and includes links to the approved </w:t>
      </w:r>
      <w:r w:rsidR="00794F9C">
        <w:rPr>
          <w:lang w:val="en-AU"/>
        </w:rPr>
        <w:t>d</w:t>
      </w:r>
      <w:r w:rsidRPr="005862E3">
        <w:rPr>
          <w:lang w:val="en-AU"/>
        </w:rPr>
        <w:t xml:space="preserve">ispute </w:t>
      </w:r>
      <w:r w:rsidR="00794F9C">
        <w:rPr>
          <w:lang w:val="en-AU"/>
        </w:rPr>
        <w:t>r</w:t>
      </w:r>
      <w:r w:rsidRPr="005862E3">
        <w:rPr>
          <w:lang w:val="en-AU"/>
        </w:rPr>
        <w:t xml:space="preserve">esolution </w:t>
      </w:r>
      <w:r w:rsidR="00794F9C">
        <w:rPr>
          <w:lang w:val="en-AU"/>
        </w:rPr>
        <w:t>p</w:t>
      </w:r>
      <w:r w:rsidRPr="005862E3">
        <w:rPr>
          <w:lang w:val="en-AU"/>
        </w:rPr>
        <w:t>rocedures and templates for:</w:t>
      </w:r>
    </w:p>
    <w:p w14:paraId="222516FE" w14:textId="66C5EB9A" w:rsidR="005862E3" w:rsidRPr="005862E3" w:rsidRDefault="00794F9C" w:rsidP="00794F9C">
      <w:pPr>
        <w:pStyle w:val="Bullet1"/>
      </w:pPr>
      <w:r>
        <w:t>p</w:t>
      </w:r>
      <w:r w:rsidR="005862E3" w:rsidRPr="005862E3">
        <w:t xml:space="preserve">atron </w:t>
      </w:r>
      <w:r>
        <w:t>d</w:t>
      </w:r>
      <w:r w:rsidR="005862E3" w:rsidRPr="005862E3">
        <w:t xml:space="preserve">ispute </w:t>
      </w:r>
      <w:r>
        <w:t>f</w:t>
      </w:r>
      <w:r w:rsidR="005862E3" w:rsidRPr="005862E3">
        <w:t>orm</w:t>
      </w:r>
    </w:p>
    <w:p w14:paraId="03EFC87F" w14:textId="07D3CD3D" w:rsidR="005862E3" w:rsidRPr="005862E3" w:rsidRDefault="00794F9C" w:rsidP="00794F9C">
      <w:pPr>
        <w:pStyle w:val="Bullet1"/>
      </w:pPr>
      <w:r>
        <w:t>g</w:t>
      </w:r>
      <w:r w:rsidR="005862E3" w:rsidRPr="005862E3">
        <w:t xml:space="preserve">ame </w:t>
      </w:r>
      <w:r>
        <w:t>p</w:t>
      </w:r>
      <w:r w:rsidR="005862E3" w:rsidRPr="005862E3">
        <w:t xml:space="preserve">lay </w:t>
      </w:r>
      <w:r>
        <w:t>r</w:t>
      </w:r>
      <w:r w:rsidR="005862E3" w:rsidRPr="005862E3">
        <w:t xml:space="preserve">ecall </w:t>
      </w:r>
      <w:r>
        <w:t>i</w:t>
      </w:r>
      <w:r w:rsidR="005862E3" w:rsidRPr="005862E3">
        <w:t xml:space="preserve">nformation </w:t>
      </w:r>
      <w:r>
        <w:t>f</w:t>
      </w:r>
      <w:r w:rsidR="005862E3" w:rsidRPr="005862E3">
        <w:t>orm</w:t>
      </w:r>
    </w:p>
    <w:p w14:paraId="20EB68C9" w14:textId="6FB852AA" w:rsidR="005862E3" w:rsidRDefault="00794F9C" w:rsidP="00794F9C">
      <w:pPr>
        <w:pStyle w:val="Bullet1"/>
      </w:pPr>
      <w:r>
        <w:t>s</w:t>
      </w:r>
      <w:r w:rsidR="005862E3" w:rsidRPr="005862E3">
        <w:t xml:space="preserve">uspected </w:t>
      </w:r>
      <w:r>
        <w:t>m</w:t>
      </w:r>
      <w:r w:rsidR="005862E3" w:rsidRPr="005862E3">
        <w:t xml:space="preserve">alfunction of a </w:t>
      </w:r>
      <w:r>
        <w:t>g</w:t>
      </w:r>
      <w:r w:rsidR="005862E3" w:rsidRPr="005862E3">
        <w:t xml:space="preserve">aming </w:t>
      </w:r>
      <w:r>
        <w:t>m</w:t>
      </w:r>
      <w:r w:rsidR="005862E3" w:rsidRPr="005862E3">
        <w:t xml:space="preserve">achine </w:t>
      </w:r>
      <w:r>
        <w:t>f</w:t>
      </w:r>
      <w:r w:rsidR="005862E3" w:rsidRPr="005862E3">
        <w:t>orm.</w:t>
      </w:r>
    </w:p>
    <w:p w14:paraId="3A9173A9" w14:textId="617D1323" w:rsidR="005862E3" w:rsidRPr="005862E3" w:rsidRDefault="008B0DCD" w:rsidP="005862E3">
      <w:pPr>
        <w:rPr>
          <w:lang w:val="en-AU"/>
        </w:rPr>
      </w:pPr>
      <w:r>
        <w:rPr>
          <w:lang w:val="en-AU"/>
        </w:rPr>
        <w:br w:type="column"/>
      </w:r>
      <w:r w:rsidR="005862E3" w:rsidRPr="005862E3">
        <w:rPr>
          <w:lang w:val="en-AU"/>
        </w:rPr>
        <w:lastRenderedPageBreak/>
        <w:t xml:space="preserve">A venue must ensure it retains all information pursuant to a patron complaint to facilitate a further investigation that may be required to be conducted by the VGCCC. To assist any investigation a venue must retain a copy of the VGCCC approved </w:t>
      </w:r>
      <w:r w:rsidR="00794F9C">
        <w:rPr>
          <w:lang w:val="en-AU"/>
        </w:rPr>
        <w:t>p</w:t>
      </w:r>
      <w:r w:rsidR="005862E3" w:rsidRPr="005862E3">
        <w:rPr>
          <w:lang w:val="en-AU"/>
        </w:rPr>
        <w:t xml:space="preserve">atron </w:t>
      </w:r>
      <w:r w:rsidR="00794F9C">
        <w:rPr>
          <w:lang w:val="en-AU"/>
        </w:rPr>
        <w:t>d</w:t>
      </w:r>
      <w:r w:rsidR="005862E3" w:rsidRPr="005862E3">
        <w:rPr>
          <w:lang w:val="en-AU"/>
        </w:rPr>
        <w:t xml:space="preserve">ispute </w:t>
      </w:r>
      <w:r w:rsidR="00794F9C">
        <w:rPr>
          <w:lang w:val="en-AU"/>
        </w:rPr>
        <w:t>f</w:t>
      </w:r>
      <w:r w:rsidR="005862E3" w:rsidRPr="005862E3">
        <w:rPr>
          <w:lang w:val="en-AU"/>
        </w:rPr>
        <w:t xml:space="preserve">orms, any internal </w:t>
      </w:r>
      <w:proofErr w:type="gramStart"/>
      <w:r w:rsidR="005862E3" w:rsidRPr="005862E3">
        <w:rPr>
          <w:lang w:val="en-AU"/>
        </w:rPr>
        <w:t>documentation</w:t>
      </w:r>
      <w:proofErr w:type="gramEnd"/>
      <w:r w:rsidR="005862E3" w:rsidRPr="005862E3">
        <w:rPr>
          <w:lang w:val="en-AU"/>
        </w:rPr>
        <w:t xml:space="preserve"> and any supporting material in relation to the dispute. Supporting material must include, but is not limited to, any recorded evidence of the instance such as CCTV footage, a screen shot/s or video footage of machine or recalled game plays subject to the complaint, etc.</w:t>
      </w:r>
    </w:p>
    <w:p w14:paraId="0C2E5263" w14:textId="7539BCE0" w:rsidR="00794F9C" w:rsidRDefault="008B0DCD" w:rsidP="008B0DCD">
      <w:pPr>
        <w:pStyle w:val="Heading2"/>
        <w:numPr>
          <w:ilvl w:val="0"/>
          <w:numId w:val="0"/>
        </w:numPr>
        <w:ind w:left="576" w:hanging="576"/>
      </w:pPr>
      <w:bookmarkStart w:id="39" w:name="_Toc114465576"/>
      <w:r>
        <w:t xml:space="preserve">4.7 </w:t>
      </w:r>
      <w:r w:rsidR="00794F9C">
        <w:t>Credit betting</w:t>
      </w:r>
      <w:bookmarkEnd w:id="39"/>
    </w:p>
    <w:p w14:paraId="432EEC6D" w14:textId="5FB59CED" w:rsidR="005862E3" w:rsidRPr="005862E3" w:rsidRDefault="005862E3" w:rsidP="005862E3">
      <w:pPr>
        <w:rPr>
          <w:lang w:val="en-AU"/>
        </w:rPr>
      </w:pPr>
      <w:r w:rsidRPr="005862E3">
        <w:rPr>
          <w:lang w:val="en-AU"/>
        </w:rPr>
        <w:t xml:space="preserve">As required under section 3.5.31 of the Act, a venue operator must not loan, or extend credit in any form, to any person to enable that person or any other person to play a gaming machine in an approved </w:t>
      </w:r>
      <w:r w:rsidR="008D65E9" w:rsidRPr="005862E3">
        <w:rPr>
          <w:lang w:val="en-AU"/>
        </w:rPr>
        <w:t>venue and</w:t>
      </w:r>
      <w:r w:rsidRPr="005862E3">
        <w:rPr>
          <w:lang w:val="en-AU"/>
        </w:rPr>
        <w:t xml:space="preserve"> ensure their staff do not do so.</w:t>
      </w:r>
    </w:p>
    <w:p w14:paraId="4F9B9676" w14:textId="12549D95" w:rsidR="00794F9C" w:rsidRDefault="008B0DCD" w:rsidP="008B0DCD">
      <w:pPr>
        <w:pStyle w:val="Heading2"/>
        <w:numPr>
          <w:ilvl w:val="0"/>
          <w:numId w:val="0"/>
        </w:numPr>
      </w:pPr>
      <w:bookmarkStart w:id="40" w:name="_Toc114465577"/>
      <w:r>
        <w:t xml:space="preserve">4.8 </w:t>
      </w:r>
      <w:r w:rsidR="00794F9C">
        <w:t>Provision of gaming data for audit purposes</w:t>
      </w:r>
      <w:bookmarkEnd w:id="40"/>
    </w:p>
    <w:p w14:paraId="6BF05F96" w14:textId="2CBA1761" w:rsidR="005862E3" w:rsidRPr="005862E3" w:rsidRDefault="005862E3" w:rsidP="005862E3">
      <w:pPr>
        <w:rPr>
          <w:lang w:val="en-AU"/>
        </w:rPr>
      </w:pPr>
      <w:r w:rsidRPr="005862E3">
        <w:rPr>
          <w:lang w:val="en-AU"/>
        </w:rPr>
        <w:t>Data recording and reconciliations must be completed by the venue operator in a timely manner and be readily available for provision to the Commission as required.</w:t>
      </w:r>
    </w:p>
    <w:p w14:paraId="6E7B7E2F" w14:textId="77777777" w:rsidR="008B0DCD" w:rsidRDefault="005862E3" w:rsidP="008B0DCD">
      <w:pPr>
        <w:rPr>
          <w:lang w:val="en-AU"/>
        </w:rPr>
      </w:pPr>
      <w:r w:rsidRPr="005862E3">
        <w:rPr>
          <w:lang w:val="en-AU"/>
        </w:rPr>
        <w:t xml:space="preserve">Penalties may apply for the failure to provide necessary data as required by the Commission to complete its audit functions. </w:t>
      </w:r>
    </w:p>
    <w:p w14:paraId="1F4CEC11" w14:textId="3BE46BCD" w:rsidR="00794F9C" w:rsidRDefault="008B0DCD" w:rsidP="008B0DCD">
      <w:pPr>
        <w:pStyle w:val="Heading2"/>
        <w:numPr>
          <w:ilvl w:val="0"/>
          <w:numId w:val="0"/>
        </w:numPr>
      </w:pPr>
      <w:r>
        <w:rPr>
          <w:lang w:val="en-AU"/>
        </w:rPr>
        <w:br w:type="column"/>
      </w:r>
      <w:bookmarkStart w:id="41" w:name="_Toc114465578"/>
      <w:r>
        <w:rPr>
          <w:lang w:val="en-AU"/>
        </w:rPr>
        <w:t xml:space="preserve">4.9 </w:t>
      </w:r>
      <w:r w:rsidR="00794F9C">
        <w:t>Dealing with unexplained variances</w:t>
      </w:r>
      <w:bookmarkEnd w:id="41"/>
    </w:p>
    <w:p w14:paraId="349C6579" w14:textId="28326604" w:rsidR="005862E3" w:rsidRPr="005862E3" w:rsidRDefault="005862E3" w:rsidP="005862E3">
      <w:pPr>
        <w:rPr>
          <w:lang w:val="en-AU"/>
        </w:rPr>
      </w:pPr>
      <w:r w:rsidRPr="005862E3">
        <w:rPr>
          <w:lang w:val="en-AU"/>
        </w:rPr>
        <w:t>A venue operator must address any unexplained variances in a timely manner and maintain appropriate documentation for all variances detected and investigations or further enquiries conducted.</w:t>
      </w:r>
    </w:p>
    <w:p w14:paraId="301913A0" w14:textId="34005A38" w:rsidR="005862E3" w:rsidRPr="005862E3" w:rsidRDefault="005862E3" w:rsidP="005862E3">
      <w:pPr>
        <w:rPr>
          <w:lang w:val="en-AU"/>
        </w:rPr>
      </w:pPr>
      <w:r w:rsidRPr="005862E3">
        <w:rPr>
          <w:lang w:val="en-AU"/>
        </w:rPr>
        <w:t xml:space="preserve">Appropriate bodies to </w:t>
      </w:r>
      <w:r w:rsidR="00794F9C">
        <w:rPr>
          <w:lang w:val="en-AU"/>
        </w:rPr>
        <w:t>help</w:t>
      </w:r>
      <w:r w:rsidRPr="005862E3">
        <w:rPr>
          <w:lang w:val="en-AU"/>
        </w:rPr>
        <w:t xml:space="preserve"> with unexplained variances may be:</w:t>
      </w:r>
    </w:p>
    <w:p w14:paraId="4D12B6C4" w14:textId="5D1D0F7C" w:rsidR="005862E3" w:rsidRPr="005862E3" w:rsidRDefault="00794F9C" w:rsidP="00794F9C">
      <w:pPr>
        <w:pStyle w:val="Bullet1"/>
      </w:pPr>
      <w:r w:rsidRPr="00794F9C">
        <w:rPr>
          <w:b/>
          <w:bCs/>
        </w:rPr>
        <w:t>t</w:t>
      </w:r>
      <w:r w:rsidR="005862E3" w:rsidRPr="00794F9C">
        <w:rPr>
          <w:b/>
          <w:bCs/>
        </w:rPr>
        <w:t xml:space="preserve">he </w:t>
      </w:r>
      <w:r w:rsidRPr="00794F9C">
        <w:rPr>
          <w:b/>
          <w:bCs/>
        </w:rPr>
        <w:t>m</w:t>
      </w:r>
      <w:r w:rsidR="005862E3" w:rsidRPr="00794F9C">
        <w:rPr>
          <w:b/>
          <w:bCs/>
        </w:rPr>
        <w:t>onitoring licensee:</w:t>
      </w:r>
      <w:r w:rsidR="005862E3" w:rsidRPr="005862E3">
        <w:t xml:space="preserve"> to </w:t>
      </w:r>
      <w:proofErr w:type="gramStart"/>
      <w:r w:rsidR="005862E3" w:rsidRPr="005862E3">
        <w:t>provide assistance</w:t>
      </w:r>
      <w:proofErr w:type="gramEnd"/>
      <w:r w:rsidR="005862E3" w:rsidRPr="005862E3">
        <w:t xml:space="preserve"> regarding the operating system used at the gaming venues and any issues with the use of the system and the gaming data reported by it</w:t>
      </w:r>
    </w:p>
    <w:p w14:paraId="61FA6EA5" w14:textId="758D1C5C" w:rsidR="005862E3" w:rsidRPr="005862E3" w:rsidRDefault="00794F9C" w:rsidP="00794F9C">
      <w:pPr>
        <w:pStyle w:val="Bullet1"/>
      </w:pPr>
      <w:r w:rsidRPr="00794F9C">
        <w:rPr>
          <w:b/>
          <w:bCs/>
        </w:rPr>
        <w:t>a</w:t>
      </w:r>
      <w:r w:rsidR="005862E3" w:rsidRPr="00794F9C">
        <w:rPr>
          <w:b/>
          <w:bCs/>
        </w:rPr>
        <w:t xml:space="preserve"> </w:t>
      </w:r>
      <w:r w:rsidR="008D65E9" w:rsidRPr="00794F9C">
        <w:rPr>
          <w:b/>
          <w:bCs/>
        </w:rPr>
        <w:t>third-party</w:t>
      </w:r>
      <w:r w:rsidR="005862E3" w:rsidRPr="00794F9C">
        <w:rPr>
          <w:b/>
          <w:bCs/>
        </w:rPr>
        <w:t xml:space="preserve"> </w:t>
      </w:r>
      <w:r w:rsidRPr="00794F9C">
        <w:rPr>
          <w:b/>
          <w:bCs/>
        </w:rPr>
        <w:t>s</w:t>
      </w:r>
      <w:r w:rsidR="005862E3" w:rsidRPr="00794F9C">
        <w:rPr>
          <w:b/>
          <w:bCs/>
        </w:rPr>
        <w:t xml:space="preserve">ervice </w:t>
      </w:r>
      <w:r w:rsidRPr="00794F9C">
        <w:rPr>
          <w:b/>
          <w:bCs/>
        </w:rPr>
        <w:t>p</w:t>
      </w:r>
      <w:r w:rsidR="005862E3" w:rsidRPr="00794F9C">
        <w:rPr>
          <w:b/>
          <w:bCs/>
        </w:rPr>
        <w:t>rovider</w:t>
      </w:r>
      <w:r w:rsidR="005862E3" w:rsidRPr="005862E3">
        <w:t xml:space="preserve"> (if applicable): issues regarding the operations of the gaming venue should be addressed via this channel</w:t>
      </w:r>
    </w:p>
    <w:p w14:paraId="5F7389EE" w14:textId="3D064386" w:rsidR="005862E3" w:rsidRPr="005862E3" w:rsidRDefault="00794F9C" w:rsidP="00794F9C">
      <w:pPr>
        <w:pStyle w:val="Bullet1"/>
      </w:pPr>
      <w:r w:rsidRPr="00794F9C">
        <w:rPr>
          <w:b/>
          <w:bCs/>
        </w:rPr>
        <w:t>a</w:t>
      </w:r>
      <w:r w:rsidR="005862E3" w:rsidRPr="00794F9C">
        <w:rPr>
          <w:b/>
          <w:bCs/>
        </w:rPr>
        <w:t xml:space="preserve">n </w:t>
      </w:r>
      <w:r w:rsidRPr="00794F9C">
        <w:rPr>
          <w:b/>
          <w:bCs/>
        </w:rPr>
        <w:t>i</w:t>
      </w:r>
      <w:r w:rsidR="005862E3" w:rsidRPr="00794F9C">
        <w:rPr>
          <w:b/>
          <w:bCs/>
        </w:rPr>
        <w:t>ndustry professional:</w:t>
      </w:r>
      <w:r w:rsidR="005862E3" w:rsidRPr="005862E3">
        <w:t xml:space="preserve"> advice from professional bodies such as accountants and auditors should be immediately sought in the event of cash handling discrepancies and of other financial issues at the gaming venue</w:t>
      </w:r>
    </w:p>
    <w:p w14:paraId="7FAB3C3B" w14:textId="052BAD60" w:rsidR="005862E3" w:rsidRDefault="00794F9C" w:rsidP="00794F9C">
      <w:pPr>
        <w:pStyle w:val="Bullet1"/>
      </w:pPr>
      <w:r w:rsidRPr="00794F9C">
        <w:rPr>
          <w:b/>
          <w:bCs/>
        </w:rPr>
        <w:t>t</w:t>
      </w:r>
      <w:r w:rsidR="005862E3" w:rsidRPr="00794F9C">
        <w:rPr>
          <w:b/>
          <w:bCs/>
        </w:rPr>
        <w:t>he Commission:</w:t>
      </w:r>
      <w:r w:rsidR="005862E3" w:rsidRPr="005862E3">
        <w:t xml:space="preserve"> any regulatory issues regarding compliance should be addressed with the Commission.</w:t>
      </w:r>
    </w:p>
    <w:p w14:paraId="20FBE7F4" w14:textId="77777777" w:rsidR="00794F9C" w:rsidRDefault="00794F9C" w:rsidP="0081733D">
      <w:pPr>
        <w:rPr>
          <w:lang w:val="en-AU"/>
        </w:rPr>
        <w:sectPr w:rsidR="00794F9C" w:rsidSect="00794F9C">
          <w:type w:val="continuous"/>
          <w:pgSz w:w="11900" w:h="16840"/>
          <w:pgMar w:top="1418" w:right="851" w:bottom="1814" w:left="851" w:header="709" w:footer="567" w:gutter="0"/>
          <w:cols w:num="2" w:space="720"/>
          <w:titlePg/>
          <w:docGrid w:linePitch="360"/>
        </w:sectPr>
      </w:pPr>
    </w:p>
    <w:p w14:paraId="79BB321C" w14:textId="05AB8AE3" w:rsidR="00B10798" w:rsidRDefault="00B10798" w:rsidP="0081733D">
      <w:pPr>
        <w:rPr>
          <w:lang w:val="en-AU"/>
        </w:rPr>
      </w:pPr>
      <w:r>
        <w:rPr>
          <w:lang w:val="en-AU"/>
        </w:rPr>
        <w:br w:type="page"/>
      </w:r>
    </w:p>
    <w:p w14:paraId="00DC1C27" w14:textId="334D2F77" w:rsidR="00794F9C" w:rsidRDefault="00794F9C" w:rsidP="00794F9C">
      <w:pPr>
        <w:pStyle w:val="Heading1"/>
        <w:numPr>
          <w:ilvl w:val="0"/>
          <w:numId w:val="0"/>
        </w:numPr>
        <w:ind w:left="720" w:hanging="720"/>
        <w:rPr>
          <w:lang w:val="en-AU"/>
        </w:rPr>
      </w:pPr>
      <w:bookmarkStart w:id="42" w:name="_Toc114465579"/>
      <w:r>
        <w:rPr>
          <w:lang w:val="en-AU"/>
        </w:rPr>
        <w:lastRenderedPageBreak/>
        <w:t>A</w:t>
      </w:r>
      <w:r w:rsidR="005A7C53">
        <w:rPr>
          <w:lang w:val="en-AU"/>
        </w:rPr>
        <w:t>ppendix</w:t>
      </w:r>
      <w:r>
        <w:rPr>
          <w:lang w:val="en-AU"/>
        </w:rPr>
        <w:t xml:space="preserve"> 1</w:t>
      </w:r>
      <w:bookmarkEnd w:id="42"/>
    </w:p>
    <w:p w14:paraId="213EB299" w14:textId="187E5A20" w:rsidR="00794F9C" w:rsidRDefault="00794F9C" w:rsidP="00794F9C">
      <w:pPr>
        <w:pStyle w:val="Heading2"/>
        <w:numPr>
          <w:ilvl w:val="0"/>
          <w:numId w:val="0"/>
        </w:numPr>
        <w:ind w:left="576" w:hanging="576"/>
        <w:rPr>
          <w:lang w:val="en-AU"/>
        </w:rPr>
      </w:pPr>
      <w:bookmarkStart w:id="43" w:name="_Toc113880174"/>
      <w:bookmarkStart w:id="44" w:name="_Toc114465580"/>
      <w:r>
        <w:rPr>
          <w:lang w:val="en-AU"/>
        </w:rPr>
        <w:t>Soft meter recording and reconciliation</w:t>
      </w:r>
      <w:bookmarkEnd w:id="43"/>
      <w:bookmarkEnd w:id="44"/>
    </w:p>
    <w:p w14:paraId="4254306D" w14:textId="71A2B224" w:rsidR="00794F9C" w:rsidRDefault="00204ADC" w:rsidP="0081733D">
      <w:pPr>
        <w:rPr>
          <w:lang w:val="en-AU"/>
        </w:rPr>
      </w:pPr>
      <w:r>
        <w:rPr>
          <w:lang w:val="en-AU"/>
        </w:rPr>
        <w:t>A comparison of the independently recorded gross soft meter data and polled data provided by the monitoring licensee must be performed daily by the venue operator.</w:t>
      </w:r>
    </w:p>
    <w:p w14:paraId="0999047F" w14:textId="074EF74F" w:rsidR="00204ADC" w:rsidRDefault="00204ADC" w:rsidP="0081733D">
      <w:pPr>
        <w:rPr>
          <w:lang w:val="en-AU"/>
        </w:rPr>
      </w:pPr>
      <w:r>
        <w:rPr>
          <w:lang w:val="en-AU"/>
        </w:rPr>
        <w:t>Metered data represents the financial gaming data calculated via the movements in the gross soft meters recorded independent by the venue from each of its gaming machines.</w:t>
      </w:r>
    </w:p>
    <w:p w14:paraId="7B724DA3" w14:textId="082DD29D" w:rsidR="00204ADC" w:rsidRDefault="00204ADC" w:rsidP="0081733D">
      <w:pPr>
        <w:rPr>
          <w:lang w:val="en-AU"/>
        </w:rPr>
      </w:pPr>
      <w:r>
        <w:rPr>
          <w:lang w:val="en-AU"/>
        </w:rPr>
        <w:t>Polled data represents the financial gaming data reported by the monitoring system. The monitoring system will provide the venue operator with access to various polled data reports, including the Daily Gross Meters and Daily Venue Accounting Reports, which will provide the required data to perform this reconciliation.</w:t>
      </w:r>
    </w:p>
    <w:p w14:paraId="5E9A8F3B" w14:textId="1EEC5A68" w:rsidR="00204ADC" w:rsidRDefault="00204ADC" w:rsidP="0081733D">
      <w:pPr>
        <w:rPr>
          <w:lang w:val="en-AU"/>
        </w:rPr>
      </w:pPr>
      <w:r>
        <w:rPr>
          <w:lang w:val="en-AU"/>
        </w:rPr>
        <w:t>At a minimum, the following metered data must be compared to the polled data reported by the monitoring licensee:</w:t>
      </w:r>
    </w:p>
    <w:p w14:paraId="6C550692" w14:textId="1EB52294" w:rsidR="00204ADC" w:rsidRDefault="00204ADC" w:rsidP="00204ADC">
      <w:pPr>
        <w:pStyle w:val="Bullet1"/>
      </w:pPr>
      <w:r>
        <w:t>turnover/credits played</w:t>
      </w:r>
    </w:p>
    <w:p w14:paraId="377F1838" w14:textId="592EA30C" w:rsidR="00204ADC" w:rsidRDefault="00204ADC" w:rsidP="00204ADC">
      <w:pPr>
        <w:pStyle w:val="Bullet1"/>
      </w:pPr>
      <w:r>
        <w:t>credit wins</w:t>
      </w:r>
    </w:p>
    <w:p w14:paraId="7045C389" w14:textId="2E449096" w:rsidR="00204ADC" w:rsidRDefault="00204ADC" w:rsidP="00204ADC">
      <w:pPr>
        <w:pStyle w:val="Bullet1"/>
      </w:pPr>
      <w:r>
        <w:t>cash in (total or individual meters that make up total cash in)</w:t>
      </w:r>
    </w:p>
    <w:p w14:paraId="26758F2D" w14:textId="69E958AE" w:rsidR="00794F9C" w:rsidRDefault="00204ADC" w:rsidP="0081733D">
      <w:pPr>
        <w:pStyle w:val="Bullet1"/>
      </w:pPr>
      <w:r>
        <w:t>cash out (total or individual meters that make up total cash in).</w:t>
      </w:r>
    </w:p>
    <w:p w14:paraId="2D972193" w14:textId="77777777" w:rsidR="001F6251" w:rsidRDefault="001F6251" w:rsidP="00204ADC">
      <w:pPr>
        <w:rPr>
          <w:highlight w:val="yellow"/>
          <w:lang w:val="en-AU"/>
        </w:rPr>
        <w:sectPr w:rsidR="001F6251" w:rsidSect="001E3173">
          <w:type w:val="continuous"/>
          <w:pgSz w:w="11900" w:h="16840"/>
          <w:pgMar w:top="1418" w:right="851" w:bottom="1814" w:left="851" w:header="709" w:footer="567" w:gutter="0"/>
          <w:cols w:space="720"/>
          <w:titlePg/>
          <w:docGrid w:linePitch="360"/>
        </w:sectPr>
      </w:pPr>
    </w:p>
    <w:p w14:paraId="37FC069E" w14:textId="45C60C5F" w:rsidR="00204ADC" w:rsidRPr="00823F21" w:rsidRDefault="00204ADC" w:rsidP="00823F21">
      <w:pPr>
        <w:spacing w:after="0" w:line="240" w:lineRule="auto"/>
        <w:rPr>
          <w:sz w:val="2"/>
          <w:szCs w:val="2"/>
          <w:lang w:val="en-AU"/>
        </w:rPr>
      </w:pPr>
    </w:p>
    <w:tbl>
      <w:tblPr>
        <w:tblStyle w:val="TableGrid"/>
        <w:tblW w:w="14647" w:type="dxa"/>
        <w:tblLayout w:type="fixed"/>
        <w:tblLook w:val="04A0" w:firstRow="1" w:lastRow="0" w:firstColumn="1" w:lastColumn="0" w:noHBand="0" w:noVBand="1"/>
      </w:tblPr>
      <w:tblGrid>
        <w:gridCol w:w="237"/>
        <w:gridCol w:w="756"/>
        <w:gridCol w:w="755"/>
        <w:gridCol w:w="425"/>
        <w:gridCol w:w="709"/>
        <w:gridCol w:w="425"/>
        <w:gridCol w:w="709"/>
        <w:gridCol w:w="567"/>
        <w:gridCol w:w="709"/>
        <w:gridCol w:w="567"/>
        <w:gridCol w:w="662"/>
        <w:gridCol w:w="425"/>
        <w:gridCol w:w="755"/>
        <w:gridCol w:w="425"/>
        <w:gridCol w:w="709"/>
        <w:gridCol w:w="567"/>
        <w:gridCol w:w="709"/>
        <w:gridCol w:w="548"/>
        <w:gridCol w:w="823"/>
        <w:gridCol w:w="851"/>
        <w:gridCol w:w="1276"/>
        <w:gridCol w:w="1038"/>
      </w:tblGrid>
      <w:tr w:rsidR="00481903" w:rsidRPr="00481903" w14:paraId="1907C2C7" w14:textId="069A6A5B" w:rsidTr="0088420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 w:type="dxa"/>
            <w:vMerge w:val="restart"/>
            <w:textDirection w:val="btLr"/>
            <w:vAlign w:val="center"/>
          </w:tcPr>
          <w:p w14:paraId="57983739" w14:textId="47F029BB" w:rsidR="00481903" w:rsidRPr="000F1F50" w:rsidRDefault="00481903" w:rsidP="00481903">
            <w:pPr>
              <w:pStyle w:val="TableText"/>
              <w:spacing w:line="240" w:lineRule="auto"/>
              <w:ind w:left="113" w:right="113"/>
              <w:jc w:val="center"/>
              <w:rPr>
                <w:color w:val="FFFFFF" w:themeColor="background1"/>
                <w:sz w:val="14"/>
                <w:szCs w:val="14"/>
              </w:rPr>
            </w:pPr>
            <w:r w:rsidRPr="000F1F50">
              <w:rPr>
                <w:b/>
                <w:bCs/>
                <w:color w:val="FFFFFF" w:themeColor="background1"/>
                <w:sz w:val="14"/>
                <w:szCs w:val="14"/>
              </w:rPr>
              <w:t>EGM no.</w:t>
            </w:r>
          </w:p>
        </w:tc>
        <w:tc>
          <w:tcPr>
            <w:tcW w:w="756" w:type="dxa"/>
            <w:vMerge w:val="restart"/>
            <w:tcBorders>
              <w:right w:val="single" w:sz="4" w:space="0" w:color="auto"/>
            </w:tcBorders>
            <w:textDirection w:val="btLr"/>
            <w:vAlign w:val="center"/>
          </w:tcPr>
          <w:p w14:paraId="058B7428" w14:textId="0BB50CCE" w:rsidR="00481903" w:rsidRPr="000F1F50" w:rsidRDefault="00481903" w:rsidP="00481903">
            <w:pPr>
              <w:pStyle w:val="TableText"/>
              <w:spacing w:line="240" w:lineRule="auto"/>
              <w:ind w:left="113" w:right="113"/>
              <w:jc w:val="center"/>
              <w:cnfStyle w:val="100000000000" w:firstRow="1" w:lastRow="0" w:firstColumn="0" w:lastColumn="0" w:oddVBand="0" w:evenVBand="0" w:oddHBand="0" w:evenHBand="0" w:firstRowFirstColumn="0" w:firstRowLastColumn="0" w:lastRowFirstColumn="0" w:lastRowLastColumn="0"/>
              <w:rPr>
                <w:color w:val="FFFFFF" w:themeColor="background1"/>
                <w:sz w:val="14"/>
                <w:szCs w:val="14"/>
              </w:rPr>
            </w:pPr>
            <w:r w:rsidRPr="000F1F50">
              <w:rPr>
                <w:b/>
                <w:bCs/>
                <w:color w:val="FFFFFF" w:themeColor="background1"/>
                <w:sz w:val="14"/>
                <w:szCs w:val="14"/>
              </w:rPr>
              <w:t>Reading</w:t>
            </w:r>
          </w:p>
        </w:tc>
        <w:tc>
          <w:tcPr>
            <w:tcW w:w="4866" w:type="dxa"/>
            <w:gridSpan w:val="8"/>
            <w:tcBorders>
              <w:left w:val="single" w:sz="4" w:space="0" w:color="auto"/>
              <w:right w:val="single" w:sz="4" w:space="0" w:color="auto"/>
            </w:tcBorders>
          </w:tcPr>
          <w:p w14:paraId="044DDAB6" w14:textId="17E935B7" w:rsidR="00481903" w:rsidRPr="000F1F50" w:rsidRDefault="00481903" w:rsidP="00F16A45">
            <w:pPr>
              <w:pStyle w:val="TableHeader"/>
              <w:jc w:val="center"/>
              <w:cnfStyle w:val="100000000000" w:firstRow="1" w:lastRow="0" w:firstColumn="0" w:lastColumn="0" w:oddVBand="0" w:evenVBand="0" w:oddHBand="0" w:evenHBand="0" w:firstRowFirstColumn="0" w:firstRowLastColumn="0" w:lastRowFirstColumn="0" w:lastRowLastColumn="0"/>
              <w:rPr>
                <w:sz w:val="14"/>
                <w:szCs w:val="14"/>
              </w:rPr>
            </w:pPr>
            <w:r w:rsidRPr="000F1F50">
              <w:rPr>
                <w:sz w:val="14"/>
                <w:szCs w:val="14"/>
              </w:rPr>
              <w:t>Machine meter reading</w:t>
            </w:r>
          </w:p>
        </w:tc>
        <w:tc>
          <w:tcPr>
            <w:tcW w:w="4800" w:type="dxa"/>
            <w:gridSpan w:val="8"/>
            <w:tcBorders>
              <w:left w:val="single" w:sz="4" w:space="0" w:color="auto"/>
              <w:right w:val="single" w:sz="4" w:space="0" w:color="auto"/>
            </w:tcBorders>
          </w:tcPr>
          <w:p w14:paraId="5AC6D5DF" w14:textId="036FECA1" w:rsidR="00481903" w:rsidRPr="000F1F50" w:rsidRDefault="00481903" w:rsidP="00F16A45">
            <w:pPr>
              <w:pStyle w:val="TableHeader"/>
              <w:jc w:val="center"/>
              <w:cnfStyle w:val="100000000000" w:firstRow="1" w:lastRow="0" w:firstColumn="0" w:lastColumn="0" w:oddVBand="0" w:evenVBand="0" w:oddHBand="0" w:evenHBand="0" w:firstRowFirstColumn="0" w:firstRowLastColumn="0" w:lastRowFirstColumn="0" w:lastRowLastColumn="0"/>
              <w:rPr>
                <w:sz w:val="14"/>
                <w:szCs w:val="14"/>
              </w:rPr>
            </w:pPr>
            <w:r w:rsidRPr="000F1F50">
              <w:rPr>
                <w:sz w:val="14"/>
                <w:szCs w:val="14"/>
              </w:rPr>
              <w:t>Bos Portal</w:t>
            </w:r>
          </w:p>
        </w:tc>
        <w:tc>
          <w:tcPr>
            <w:tcW w:w="3988" w:type="dxa"/>
            <w:gridSpan w:val="4"/>
            <w:tcBorders>
              <w:left w:val="single" w:sz="4" w:space="0" w:color="auto"/>
            </w:tcBorders>
          </w:tcPr>
          <w:p w14:paraId="6CEEE652" w14:textId="04453DBC" w:rsidR="00481903" w:rsidRPr="000F1F50" w:rsidRDefault="00481903" w:rsidP="00F16A45">
            <w:pPr>
              <w:pStyle w:val="TableHeader"/>
              <w:jc w:val="center"/>
              <w:cnfStyle w:val="100000000000" w:firstRow="1" w:lastRow="0" w:firstColumn="0" w:lastColumn="0" w:oddVBand="0" w:evenVBand="0" w:oddHBand="0" w:evenHBand="0" w:firstRowFirstColumn="0" w:firstRowLastColumn="0" w:lastRowFirstColumn="0" w:lastRowLastColumn="0"/>
              <w:rPr>
                <w:sz w:val="14"/>
                <w:szCs w:val="14"/>
              </w:rPr>
            </w:pPr>
            <w:r w:rsidRPr="000F1F50">
              <w:rPr>
                <w:sz w:val="14"/>
                <w:szCs w:val="14"/>
              </w:rPr>
              <w:t>Variances</w:t>
            </w:r>
          </w:p>
        </w:tc>
      </w:tr>
      <w:tr w:rsidR="0088420A" w:rsidRPr="00481903" w14:paraId="68307652" w14:textId="2406B9A6" w:rsidTr="0088420A">
        <w:trPr>
          <w:cnfStyle w:val="000000100000" w:firstRow="0" w:lastRow="0" w:firstColumn="0" w:lastColumn="0" w:oddVBand="0" w:evenVBand="0" w:oddHBand="1" w:evenHBand="0" w:firstRowFirstColumn="0" w:firstRowLastColumn="0" w:lastRowFirstColumn="0" w:lastRowLastColumn="0"/>
          <w:cantSplit/>
          <w:trHeight w:val="478"/>
        </w:trPr>
        <w:tc>
          <w:tcPr>
            <w:cnfStyle w:val="001000000000" w:firstRow="0" w:lastRow="0" w:firstColumn="1" w:lastColumn="0" w:oddVBand="0" w:evenVBand="0" w:oddHBand="0" w:evenHBand="0" w:firstRowFirstColumn="0" w:firstRowLastColumn="0" w:lastRowFirstColumn="0" w:lastRowLastColumn="0"/>
            <w:tcW w:w="237" w:type="dxa"/>
            <w:vMerge/>
            <w:textDirection w:val="btLr"/>
            <w:vAlign w:val="center"/>
          </w:tcPr>
          <w:p w14:paraId="59C7FBF2" w14:textId="1DC27430" w:rsidR="000F1F50" w:rsidRPr="000F1F50" w:rsidRDefault="000F1F50" w:rsidP="00F16A45">
            <w:pPr>
              <w:pStyle w:val="TableText"/>
              <w:spacing w:line="240" w:lineRule="auto"/>
              <w:ind w:left="113" w:right="113"/>
              <w:jc w:val="center"/>
              <w:rPr>
                <w:b/>
                <w:bCs/>
                <w:sz w:val="14"/>
                <w:szCs w:val="14"/>
              </w:rPr>
            </w:pPr>
          </w:p>
        </w:tc>
        <w:tc>
          <w:tcPr>
            <w:tcW w:w="756" w:type="dxa"/>
            <w:vMerge/>
            <w:tcBorders>
              <w:right w:val="single" w:sz="4" w:space="0" w:color="auto"/>
            </w:tcBorders>
            <w:textDirection w:val="btLr"/>
            <w:vAlign w:val="center"/>
          </w:tcPr>
          <w:p w14:paraId="681960D5" w14:textId="5D3314E2" w:rsidR="000F1F50" w:rsidRPr="000F1F50" w:rsidRDefault="000F1F50" w:rsidP="00F16A45">
            <w:pPr>
              <w:pStyle w:val="TableText"/>
              <w:spacing w:line="240" w:lineRule="auto"/>
              <w:ind w:left="113" w:right="113"/>
              <w:jc w:val="center"/>
              <w:cnfStyle w:val="000000100000" w:firstRow="0" w:lastRow="0" w:firstColumn="0" w:lastColumn="0" w:oddVBand="0" w:evenVBand="0" w:oddHBand="1" w:evenHBand="0" w:firstRowFirstColumn="0" w:firstRowLastColumn="0" w:lastRowFirstColumn="0" w:lastRowLastColumn="0"/>
              <w:rPr>
                <w:b/>
                <w:bCs/>
                <w:sz w:val="14"/>
                <w:szCs w:val="14"/>
              </w:rPr>
            </w:pPr>
          </w:p>
        </w:tc>
        <w:tc>
          <w:tcPr>
            <w:tcW w:w="1180" w:type="dxa"/>
            <w:gridSpan w:val="2"/>
            <w:tcBorders>
              <w:left w:val="single" w:sz="4" w:space="0" w:color="auto"/>
            </w:tcBorders>
            <w:vAlign w:val="center"/>
          </w:tcPr>
          <w:p w14:paraId="3A12281B" w14:textId="2EDF8F6B" w:rsidR="000F1F50" w:rsidRPr="000F1F50" w:rsidRDefault="000F1F50" w:rsidP="000F1F50">
            <w:pPr>
              <w:pStyle w:val="TableText"/>
              <w:spacing w:line="240" w:lineRule="auto"/>
              <w:jc w:val="center"/>
              <w:cnfStyle w:val="000000100000" w:firstRow="0" w:lastRow="0" w:firstColumn="0" w:lastColumn="0" w:oddVBand="0" w:evenVBand="0" w:oddHBand="1" w:evenHBand="0" w:firstRowFirstColumn="0" w:firstRowLastColumn="0" w:lastRowFirstColumn="0" w:lastRowLastColumn="0"/>
              <w:rPr>
                <w:b/>
                <w:bCs/>
                <w:sz w:val="14"/>
                <w:szCs w:val="14"/>
              </w:rPr>
            </w:pPr>
            <w:r w:rsidRPr="000F1F50">
              <w:rPr>
                <w:b/>
                <w:bCs/>
                <w:sz w:val="14"/>
                <w:szCs w:val="14"/>
              </w:rPr>
              <w:t>Cash in</w:t>
            </w:r>
          </w:p>
        </w:tc>
        <w:tc>
          <w:tcPr>
            <w:tcW w:w="1134" w:type="dxa"/>
            <w:gridSpan w:val="2"/>
            <w:vAlign w:val="center"/>
          </w:tcPr>
          <w:p w14:paraId="4BDF1628" w14:textId="38E15E6E" w:rsidR="000F1F50" w:rsidRPr="000F1F50" w:rsidRDefault="000F1F50" w:rsidP="000F1F50">
            <w:pPr>
              <w:pStyle w:val="TableText"/>
              <w:spacing w:line="240" w:lineRule="auto"/>
              <w:jc w:val="center"/>
              <w:cnfStyle w:val="000000100000" w:firstRow="0" w:lastRow="0" w:firstColumn="0" w:lastColumn="0" w:oddVBand="0" w:evenVBand="0" w:oddHBand="1" w:evenHBand="0" w:firstRowFirstColumn="0" w:firstRowLastColumn="0" w:lastRowFirstColumn="0" w:lastRowLastColumn="0"/>
              <w:rPr>
                <w:b/>
                <w:bCs/>
                <w:sz w:val="14"/>
                <w:szCs w:val="14"/>
              </w:rPr>
            </w:pPr>
            <w:r w:rsidRPr="000F1F50">
              <w:rPr>
                <w:b/>
                <w:bCs/>
                <w:sz w:val="14"/>
                <w:szCs w:val="14"/>
              </w:rPr>
              <w:t>Cash out</w:t>
            </w:r>
          </w:p>
        </w:tc>
        <w:tc>
          <w:tcPr>
            <w:tcW w:w="1276" w:type="dxa"/>
            <w:gridSpan w:val="2"/>
            <w:vAlign w:val="center"/>
          </w:tcPr>
          <w:p w14:paraId="6AA6807C" w14:textId="62458A8D" w:rsidR="000F1F50" w:rsidRPr="000F1F50" w:rsidRDefault="000F1F50" w:rsidP="000F1F50">
            <w:pPr>
              <w:pStyle w:val="TableText"/>
              <w:spacing w:line="240" w:lineRule="auto"/>
              <w:jc w:val="center"/>
              <w:cnfStyle w:val="000000100000" w:firstRow="0" w:lastRow="0" w:firstColumn="0" w:lastColumn="0" w:oddVBand="0" w:evenVBand="0" w:oddHBand="1" w:evenHBand="0" w:firstRowFirstColumn="0" w:firstRowLastColumn="0" w:lastRowFirstColumn="0" w:lastRowLastColumn="0"/>
              <w:rPr>
                <w:b/>
                <w:bCs/>
                <w:sz w:val="14"/>
                <w:szCs w:val="14"/>
              </w:rPr>
            </w:pPr>
            <w:r w:rsidRPr="000F1F50">
              <w:rPr>
                <w:b/>
                <w:bCs/>
                <w:sz w:val="14"/>
                <w:szCs w:val="14"/>
              </w:rPr>
              <w:t>Credits played</w:t>
            </w:r>
          </w:p>
        </w:tc>
        <w:tc>
          <w:tcPr>
            <w:tcW w:w="1276" w:type="dxa"/>
            <w:gridSpan w:val="2"/>
            <w:tcBorders>
              <w:right w:val="single" w:sz="4" w:space="0" w:color="auto"/>
            </w:tcBorders>
            <w:vAlign w:val="center"/>
          </w:tcPr>
          <w:p w14:paraId="672D2959" w14:textId="0A3EA6A6" w:rsidR="000F1F50" w:rsidRPr="000F1F50" w:rsidRDefault="000F1F50" w:rsidP="000F1F50">
            <w:pPr>
              <w:pStyle w:val="TableText"/>
              <w:spacing w:line="240" w:lineRule="auto"/>
              <w:jc w:val="center"/>
              <w:cnfStyle w:val="000000100000" w:firstRow="0" w:lastRow="0" w:firstColumn="0" w:lastColumn="0" w:oddVBand="0" w:evenVBand="0" w:oddHBand="1" w:evenHBand="0" w:firstRowFirstColumn="0" w:firstRowLastColumn="0" w:lastRowFirstColumn="0" w:lastRowLastColumn="0"/>
              <w:rPr>
                <w:b/>
                <w:bCs/>
                <w:sz w:val="14"/>
                <w:szCs w:val="14"/>
              </w:rPr>
            </w:pPr>
            <w:r w:rsidRPr="000F1F50">
              <w:rPr>
                <w:b/>
                <w:bCs/>
                <w:sz w:val="14"/>
                <w:szCs w:val="14"/>
              </w:rPr>
              <w:t>Credits won</w:t>
            </w:r>
          </w:p>
        </w:tc>
        <w:tc>
          <w:tcPr>
            <w:tcW w:w="1087" w:type="dxa"/>
            <w:gridSpan w:val="2"/>
            <w:tcBorders>
              <w:left w:val="single" w:sz="4" w:space="0" w:color="auto"/>
            </w:tcBorders>
            <w:vAlign w:val="center"/>
          </w:tcPr>
          <w:p w14:paraId="54CE2ED0" w14:textId="56EE4F94" w:rsidR="000F1F50" w:rsidRPr="000F1F50" w:rsidRDefault="000F1F50" w:rsidP="000F1F50">
            <w:pPr>
              <w:pStyle w:val="TableText"/>
              <w:spacing w:line="240" w:lineRule="auto"/>
              <w:jc w:val="center"/>
              <w:cnfStyle w:val="000000100000" w:firstRow="0" w:lastRow="0" w:firstColumn="0" w:lastColumn="0" w:oddVBand="0" w:evenVBand="0" w:oddHBand="1" w:evenHBand="0" w:firstRowFirstColumn="0" w:firstRowLastColumn="0" w:lastRowFirstColumn="0" w:lastRowLastColumn="0"/>
              <w:rPr>
                <w:b/>
                <w:bCs/>
                <w:sz w:val="14"/>
                <w:szCs w:val="14"/>
              </w:rPr>
            </w:pPr>
            <w:r w:rsidRPr="000F1F50">
              <w:rPr>
                <w:b/>
                <w:bCs/>
                <w:sz w:val="14"/>
                <w:szCs w:val="14"/>
              </w:rPr>
              <w:t>Cash in</w:t>
            </w:r>
          </w:p>
        </w:tc>
        <w:tc>
          <w:tcPr>
            <w:tcW w:w="1180" w:type="dxa"/>
            <w:gridSpan w:val="2"/>
            <w:vAlign w:val="center"/>
          </w:tcPr>
          <w:p w14:paraId="7D765A80" w14:textId="18E6D721" w:rsidR="000F1F50" w:rsidRPr="000F1F50" w:rsidRDefault="000F1F50" w:rsidP="000F1F50">
            <w:pPr>
              <w:pStyle w:val="TableText"/>
              <w:spacing w:line="240" w:lineRule="auto"/>
              <w:jc w:val="center"/>
              <w:cnfStyle w:val="000000100000" w:firstRow="0" w:lastRow="0" w:firstColumn="0" w:lastColumn="0" w:oddVBand="0" w:evenVBand="0" w:oddHBand="1" w:evenHBand="0" w:firstRowFirstColumn="0" w:firstRowLastColumn="0" w:lastRowFirstColumn="0" w:lastRowLastColumn="0"/>
              <w:rPr>
                <w:b/>
                <w:bCs/>
                <w:sz w:val="14"/>
                <w:szCs w:val="14"/>
              </w:rPr>
            </w:pPr>
            <w:r w:rsidRPr="000F1F50">
              <w:rPr>
                <w:b/>
                <w:bCs/>
                <w:sz w:val="14"/>
                <w:szCs w:val="14"/>
              </w:rPr>
              <w:t>Cash out</w:t>
            </w:r>
          </w:p>
        </w:tc>
        <w:tc>
          <w:tcPr>
            <w:tcW w:w="1276" w:type="dxa"/>
            <w:gridSpan w:val="2"/>
            <w:vAlign w:val="center"/>
          </w:tcPr>
          <w:p w14:paraId="19081C6E" w14:textId="1FA819BB" w:rsidR="000F1F50" w:rsidRPr="000F1F50" w:rsidRDefault="000F1F50" w:rsidP="000F1F50">
            <w:pPr>
              <w:pStyle w:val="TableText"/>
              <w:spacing w:line="240" w:lineRule="auto"/>
              <w:jc w:val="center"/>
              <w:cnfStyle w:val="000000100000" w:firstRow="0" w:lastRow="0" w:firstColumn="0" w:lastColumn="0" w:oddVBand="0" w:evenVBand="0" w:oddHBand="1" w:evenHBand="0" w:firstRowFirstColumn="0" w:firstRowLastColumn="0" w:lastRowFirstColumn="0" w:lastRowLastColumn="0"/>
              <w:rPr>
                <w:b/>
                <w:bCs/>
                <w:sz w:val="14"/>
                <w:szCs w:val="14"/>
              </w:rPr>
            </w:pPr>
            <w:r w:rsidRPr="000F1F50">
              <w:rPr>
                <w:b/>
                <w:bCs/>
                <w:sz w:val="14"/>
                <w:szCs w:val="14"/>
              </w:rPr>
              <w:t>Credits played</w:t>
            </w:r>
          </w:p>
        </w:tc>
        <w:tc>
          <w:tcPr>
            <w:tcW w:w="1257" w:type="dxa"/>
            <w:gridSpan w:val="2"/>
            <w:tcBorders>
              <w:right w:val="single" w:sz="4" w:space="0" w:color="auto"/>
            </w:tcBorders>
            <w:vAlign w:val="center"/>
          </w:tcPr>
          <w:p w14:paraId="4E10739F" w14:textId="6F1219E4" w:rsidR="000F1F50" w:rsidRPr="000F1F50" w:rsidRDefault="000F1F50" w:rsidP="000F1F50">
            <w:pPr>
              <w:pStyle w:val="TableText"/>
              <w:spacing w:line="240" w:lineRule="auto"/>
              <w:jc w:val="center"/>
              <w:cnfStyle w:val="000000100000" w:firstRow="0" w:lastRow="0" w:firstColumn="0" w:lastColumn="0" w:oddVBand="0" w:evenVBand="0" w:oddHBand="1" w:evenHBand="0" w:firstRowFirstColumn="0" w:firstRowLastColumn="0" w:lastRowFirstColumn="0" w:lastRowLastColumn="0"/>
              <w:rPr>
                <w:b/>
                <w:bCs/>
                <w:sz w:val="14"/>
                <w:szCs w:val="14"/>
              </w:rPr>
            </w:pPr>
            <w:r w:rsidRPr="000F1F50">
              <w:rPr>
                <w:b/>
                <w:bCs/>
                <w:sz w:val="14"/>
                <w:szCs w:val="14"/>
              </w:rPr>
              <w:t>Credits won</w:t>
            </w:r>
          </w:p>
        </w:tc>
        <w:tc>
          <w:tcPr>
            <w:tcW w:w="823" w:type="dxa"/>
            <w:tcBorders>
              <w:left w:val="single" w:sz="4" w:space="0" w:color="auto"/>
            </w:tcBorders>
            <w:vAlign w:val="center"/>
          </w:tcPr>
          <w:p w14:paraId="65B33EB5" w14:textId="346E9263" w:rsidR="000F1F50" w:rsidRPr="000F1F50" w:rsidRDefault="000F1F50" w:rsidP="000F1F50">
            <w:pPr>
              <w:pStyle w:val="TableText"/>
              <w:spacing w:line="240" w:lineRule="auto"/>
              <w:jc w:val="center"/>
              <w:cnfStyle w:val="000000100000" w:firstRow="0" w:lastRow="0" w:firstColumn="0" w:lastColumn="0" w:oddVBand="0" w:evenVBand="0" w:oddHBand="1" w:evenHBand="0" w:firstRowFirstColumn="0" w:firstRowLastColumn="0" w:lastRowFirstColumn="0" w:lastRowLastColumn="0"/>
              <w:rPr>
                <w:b/>
                <w:bCs/>
                <w:sz w:val="14"/>
                <w:szCs w:val="14"/>
              </w:rPr>
            </w:pPr>
            <w:r w:rsidRPr="000F1F50">
              <w:rPr>
                <w:b/>
                <w:bCs/>
                <w:sz w:val="14"/>
                <w:szCs w:val="14"/>
              </w:rPr>
              <w:t>Cash in</w:t>
            </w:r>
          </w:p>
        </w:tc>
        <w:tc>
          <w:tcPr>
            <w:tcW w:w="851" w:type="dxa"/>
            <w:vAlign w:val="center"/>
          </w:tcPr>
          <w:p w14:paraId="50F3B9BB" w14:textId="23840482" w:rsidR="000F1F50" w:rsidRPr="000F1F50" w:rsidRDefault="000F1F50" w:rsidP="000F1F50">
            <w:pPr>
              <w:pStyle w:val="TableText"/>
              <w:spacing w:line="240" w:lineRule="auto"/>
              <w:jc w:val="center"/>
              <w:cnfStyle w:val="000000100000" w:firstRow="0" w:lastRow="0" w:firstColumn="0" w:lastColumn="0" w:oddVBand="0" w:evenVBand="0" w:oddHBand="1" w:evenHBand="0" w:firstRowFirstColumn="0" w:firstRowLastColumn="0" w:lastRowFirstColumn="0" w:lastRowLastColumn="0"/>
              <w:rPr>
                <w:b/>
                <w:bCs/>
                <w:sz w:val="14"/>
                <w:szCs w:val="14"/>
              </w:rPr>
            </w:pPr>
            <w:r w:rsidRPr="000F1F50">
              <w:rPr>
                <w:b/>
                <w:bCs/>
                <w:sz w:val="14"/>
                <w:szCs w:val="14"/>
              </w:rPr>
              <w:t>Cash out</w:t>
            </w:r>
          </w:p>
        </w:tc>
        <w:tc>
          <w:tcPr>
            <w:tcW w:w="1276" w:type="dxa"/>
            <w:vAlign w:val="center"/>
          </w:tcPr>
          <w:p w14:paraId="65AF06EE" w14:textId="6FFEE9C4" w:rsidR="000F1F50" w:rsidRPr="000F1F50" w:rsidRDefault="000F1F50" w:rsidP="000F1F50">
            <w:pPr>
              <w:pStyle w:val="TableText"/>
              <w:spacing w:line="240" w:lineRule="auto"/>
              <w:jc w:val="center"/>
              <w:cnfStyle w:val="000000100000" w:firstRow="0" w:lastRow="0" w:firstColumn="0" w:lastColumn="0" w:oddVBand="0" w:evenVBand="0" w:oddHBand="1" w:evenHBand="0" w:firstRowFirstColumn="0" w:firstRowLastColumn="0" w:lastRowFirstColumn="0" w:lastRowLastColumn="0"/>
              <w:rPr>
                <w:b/>
                <w:bCs/>
                <w:sz w:val="14"/>
                <w:szCs w:val="14"/>
              </w:rPr>
            </w:pPr>
            <w:r w:rsidRPr="000F1F50">
              <w:rPr>
                <w:b/>
                <w:bCs/>
                <w:sz w:val="14"/>
                <w:szCs w:val="14"/>
              </w:rPr>
              <w:t>Credits played</w:t>
            </w:r>
          </w:p>
        </w:tc>
        <w:tc>
          <w:tcPr>
            <w:tcW w:w="1038" w:type="dxa"/>
            <w:vAlign w:val="center"/>
          </w:tcPr>
          <w:p w14:paraId="310CD179" w14:textId="7BBBC58C" w:rsidR="000F1F50" w:rsidRPr="000F1F50" w:rsidRDefault="000F1F50" w:rsidP="000F1F50">
            <w:pPr>
              <w:pStyle w:val="TableText"/>
              <w:spacing w:line="240" w:lineRule="auto"/>
              <w:jc w:val="center"/>
              <w:cnfStyle w:val="000000100000" w:firstRow="0" w:lastRow="0" w:firstColumn="0" w:lastColumn="0" w:oddVBand="0" w:evenVBand="0" w:oddHBand="1" w:evenHBand="0" w:firstRowFirstColumn="0" w:firstRowLastColumn="0" w:lastRowFirstColumn="0" w:lastRowLastColumn="0"/>
              <w:rPr>
                <w:b/>
                <w:bCs/>
                <w:sz w:val="14"/>
                <w:szCs w:val="14"/>
              </w:rPr>
            </w:pPr>
            <w:r w:rsidRPr="000F1F50">
              <w:rPr>
                <w:b/>
                <w:bCs/>
                <w:sz w:val="14"/>
                <w:szCs w:val="14"/>
              </w:rPr>
              <w:t>Credits won</w:t>
            </w:r>
          </w:p>
        </w:tc>
      </w:tr>
      <w:tr w:rsidR="0088420A" w:rsidRPr="000F1F50" w14:paraId="66D589E7" w14:textId="53CCE353" w:rsidTr="0088420A">
        <w:tc>
          <w:tcPr>
            <w:cnfStyle w:val="001000000000" w:firstRow="0" w:lastRow="0" w:firstColumn="1" w:lastColumn="0" w:oddVBand="0" w:evenVBand="0" w:oddHBand="0" w:evenHBand="0" w:firstRowFirstColumn="0" w:firstRowLastColumn="0" w:lastRowFirstColumn="0" w:lastRowLastColumn="0"/>
            <w:tcW w:w="237" w:type="dxa"/>
          </w:tcPr>
          <w:p w14:paraId="263826A5" w14:textId="4E498051" w:rsidR="00F16A45" w:rsidRPr="000F1F50" w:rsidRDefault="00F16A45" w:rsidP="00F16A45">
            <w:pPr>
              <w:pStyle w:val="TableText"/>
              <w:spacing w:line="240" w:lineRule="auto"/>
              <w:rPr>
                <w:sz w:val="12"/>
                <w:szCs w:val="12"/>
              </w:rPr>
            </w:pPr>
            <w:r w:rsidRPr="000F1F50">
              <w:rPr>
                <w:sz w:val="12"/>
                <w:szCs w:val="12"/>
              </w:rPr>
              <w:t>1</w:t>
            </w:r>
          </w:p>
        </w:tc>
        <w:tc>
          <w:tcPr>
            <w:tcW w:w="756" w:type="dxa"/>
            <w:tcBorders>
              <w:right w:val="single" w:sz="4" w:space="0" w:color="auto"/>
            </w:tcBorders>
          </w:tcPr>
          <w:p w14:paraId="532F4F46" w14:textId="659E8975" w:rsidR="00F16A45" w:rsidRPr="000F1F50" w:rsidRDefault="00F16A45" w:rsidP="00F16A45">
            <w:pPr>
              <w:pStyle w:val="TableText"/>
              <w:spacing w:line="240" w:lineRule="auto"/>
              <w:cnfStyle w:val="000000000000" w:firstRow="0" w:lastRow="0" w:firstColumn="0" w:lastColumn="0" w:oddVBand="0" w:evenVBand="0" w:oddHBand="0" w:evenHBand="0" w:firstRowFirstColumn="0" w:firstRowLastColumn="0" w:lastRowFirstColumn="0" w:lastRowLastColumn="0"/>
              <w:rPr>
                <w:sz w:val="12"/>
                <w:szCs w:val="12"/>
              </w:rPr>
            </w:pPr>
            <w:r w:rsidRPr="000F1F50">
              <w:rPr>
                <w:sz w:val="12"/>
                <w:szCs w:val="12"/>
              </w:rPr>
              <w:t>1/2/</w:t>
            </w:r>
            <w:r w:rsidR="00DE4991" w:rsidRPr="000F1F50">
              <w:rPr>
                <w:sz w:val="12"/>
                <w:szCs w:val="12"/>
              </w:rPr>
              <w:t>20</w:t>
            </w:r>
            <w:r w:rsidR="00DE4991">
              <w:rPr>
                <w:sz w:val="12"/>
                <w:szCs w:val="12"/>
              </w:rPr>
              <w:t>22</w:t>
            </w:r>
          </w:p>
        </w:tc>
        <w:tc>
          <w:tcPr>
            <w:tcW w:w="755" w:type="dxa"/>
            <w:tcBorders>
              <w:left w:val="single" w:sz="4" w:space="0" w:color="auto"/>
            </w:tcBorders>
          </w:tcPr>
          <w:p w14:paraId="59010745" w14:textId="42BCA3A4" w:rsidR="00F16A45" w:rsidRPr="000F1F50" w:rsidRDefault="00F16A45" w:rsidP="00481903">
            <w:pPr>
              <w:pStyle w:val="TableText"/>
              <w:spacing w:line="240" w:lineRule="auto"/>
              <w:jc w:val="right"/>
              <w:cnfStyle w:val="000000000000" w:firstRow="0" w:lastRow="0" w:firstColumn="0" w:lastColumn="0" w:oddVBand="0" w:evenVBand="0" w:oddHBand="0" w:evenHBand="0" w:firstRowFirstColumn="0" w:firstRowLastColumn="0" w:lastRowFirstColumn="0" w:lastRowLastColumn="0"/>
              <w:rPr>
                <w:sz w:val="12"/>
                <w:szCs w:val="12"/>
              </w:rPr>
            </w:pPr>
            <w:r w:rsidRPr="000F1F50">
              <w:rPr>
                <w:sz w:val="12"/>
                <w:szCs w:val="12"/>
              </w:rPr>
              <w:t>184,929</w:t>
            </w:r>
          </w:p>
        </w:tc>
        <w:tc>
          <w:tcPr>
            <w:tcW w:w="425" w:type="dxa"/>
          </w:tcPr>
          <w:p w14:paraId="1780CFEA" w14:textId="77777777" w:rsidR="00F16A45" w:rsidRPr="000F1F50" w:rsidRDefault="00F16A45" w:rsidP="00481903">
            <w:pPr>
              <w:pStyle w:val="TableText"/>
              <w:spacing w:line="240" w:lineRule="auto"/>
              <w:jc w:val="right"/>
              <w:cnfStyle w:val="000000000000" w:firstRow="0" w:lastRow="0" w:firstColumn="0" w:lastColumn="0" w:oddVBand="0" w:evenVBand="0" w:oddHBand="0" w:evenHBand="0" w:firstRowFirstColumn="0" w:firstRowLastColumn="0" w:lastRowFirstColumn="0" w:lastRowLastColumn="0"/>
              <w:rPr>
                <w:sz w:val="12"/>
                <w:szCs w:val="12"/>
              </w:rPr>
            </w:pPr>
          </w:p>
        </w:tc>
        <w:tc>
          <w:tcPr>
            <w:tcW w:w="709" w:type="dxa"/>
          </w:tcPr>
          <w:p w14:paraId="43B5026C" w14:textId="50D0BA4F" w:rsidR="00F16A45" w:rsidRPr="000F1F50" w:rsidRDefault="00F16A45" w:rsidP="00481903">
            <w:pPr>
              <w:pStyle w:val="TableText"/>
              <w:spacing w:line="240" w:lineRule="auto"/>
              <w:jc w:val="right"/>
              <w:cnfStyle w:val="000000000000" w:firstRow="0" w:lastRow="0" w:firstColumn="0" w:lastColumn="0" w:oddVBand="0" w:evenVBand="0" w:oddHBand="0" w:evenHBand="0" w:firstRowFirstColumn="0" w:firstRowLastColumn="0" w:lastRowFirstColumn="0" w:lastRowLastColumn="0"/>
              <w:rPr>
                <w:sz w:val="12"/>
                <w:szCs w:val="12"/>
              </w:rPr>
            </w:pPr>
            <w:r w:rsidRPr="000F1F50">
              <w:rPr>
                <w:sz w:val="12"/>
                <w:szCs w:val="12"/>
              </w:rPr>
              <w:t>131,549</w:t>
            </w:r>
          </w:p>
        </w:tc>
        <w:tc>
          <w:tcPr>
            <w:tcW w:w="425" w:type="dxa"/>
          </w:tcPr>
          <w:p w14:paraId="122ACED7" w14:textId="77777777" w:rsidR="00F16A45" w:rsidRPr="000F1F50" w:rsidRDefault="00F16A45" w:rsidP="00481903">
            <w:pPr>
              <w:pStyle w:val="TableText"/>
              <w:spacing w:line="240" w:lineRule="auto"/>
              <w:jc w:val="right"/>
              <w:cnfStyle w:val="000000000000" w:firstRow="0" w:lastRow="0" w:firstColumn="0" w:lastColumn="0" w:oddVBand="0" w:evenVBand="0" w:oddHBand="0" w:evenHBand="0" w:firstRowFirstColumn="0" w:firstRowLastColumn="0" w:lastRowFirstColumn="0" w:lastRowLastColumn="0"/>
              <w:rPr>
                <w:sz w:val="12"/>
                <w:szCs w:val="12"/>
              </w:rPr>
            </w:pPr>
          </w:p>
        </w:tc>
        <w:tc>
          <w:tcPr>
            <w:tcW w:w="709" w:type="dxa"/>
          </w:tcPr>
          <w:p w14:paraId="0F4DCD46" w14:textId="7288374C" w:rsidR="00F16A45" w:rsidRPr="000F1F50" w:rsidRDefault="00F16A45" w:rsidP="00481903">
            <w:pPr>
              <w:pStyle w:val="TableText"/>
              <w:spacing w:line="240" w:lineRule="auto"/>
              <w:jc w:val="right"/>
              <w:cnfStyle w:val="000000000000" w:firstRow="0" w:lastRow="0" w:firstColumn="0" w:lastColumn="0" w:oddVBand="0" w:evenVBand="0" w:oddHBand="0" w:evenHBand="0" w:firstRowFirstColumn="0" w:firstRowLastColumn="0" w:lastRowFirstColumn="0" w:lastRowLastColumn="0"/>
              <w:rPr>
                <w:sz w:val="12"/>
                <w:szCs w:val="12"/>
              </w:rPr>
            </w:pPr>
            <w:r w:rsidRPr="000F1F50">
              <w:rPr>
                <w:sz w:val="12"/>
                <w:szCs w:val="12"/>
              </w:rPr>
              <w:t>527,588</w:t>
            </w:r>
          </w:p>
        </w:tc>
        <w:tc>
          <w:tcPr>
            <w:tcW w:w="567" w:type="dxa"/>
          </w:tcPr>
          <w:p w14:paraId="36C8AEA0" w14:textId="77777777" w:rsidR="00F16A45" w:rsidRPr="000F1F50" w:rsidRDefault="00F16A45" w:rsidP="00481903">
            <w:pPr>
              <w:pStyle w:val="TableText"/>
              <w:spacing w:line="240" w:lineRule="auto"/>
              <w:jc w:val="right"/>
              <w:cnfStyle w:val="000000000000" w:firstRow="0" w:lastRow="0" w:firstColumn="0" w:lastColumn="0" w:oddVBand="0" w:evenVBand="0" w:oddHBand="0" w:evenHBand="0" w:firstRowFirstColumn="0" w:firstRowLastColumn="0" w:lastRowFirstColumn="0" w:lastRowLastColumn="0"/>
              <w:rPr>
                <w:sz w:val="12"/>
                <w:szCs w:val="12"/>
              </w:rPr>
            </w:pPr>
          </w:p>
        </w:tc>
        <w:tc>
          <w:tcPr>
            <w:tcW w:w="709" w:type="dxa"/>
          </w:tcPr>
          <w:p w14:paraId="7DF7B6BA" w14:textId="6EBE4D33" w:rsidR="00F16A45" w:rsidRPr="000F1F50" w:rsidRDefault="00F16A45" w:rsidP="00481903">
            <w:pPr>
              <w:pStyle w:val="TableText"/>
              <w:spacing w:line="240" w:lineRule="auto"/>
              <w:jc w:val="right"/>
              <w:cnfStyle w:val="000000000000" w:firstRow="0" w:lastRow="0" w:firstColumn="0" w:lastColumn="0" w:oddVBand="0" w:evenVBand="0" w:oddHBand="0" w:evenHBand="0" w:firstRowFirstColumn="0" w:firstRowLastColumn="0" w:lastRowFirstColumn="0" w:lastRowLastColumn="0"/>
              <w:rPr>
                <w:sz w:val="12"/>
                <w:szCs w:val="12"/>
              </w:rPr>
            </w:pPr>
            <w:r w:rsidRPr="000F1F50">
              <w:rPr>
                <w:sz w:val="12"/>
                <w:szCs w:val="12"/>
              </w:rPr>
              <w:t>461,230</w:t>
            </w:r>
          </w:p>
        </w:tc>
        <w:tc>
          <w:tcPr>
            <w:tcW w:w="567" w:type="dxa"/>
            <w:tcBorders>
              <w:right w:val="single" w:sz="4" w:space="0" w:color="auto"/>
            </w:tcBorders>
          </w:tcPr>
          <w:p w14:paraId="4A428A32" w14:textId="77777777" w:rsidR="00F16A45" w:rsidRPr="000F1F50" w:rsidRDefault="00F16A45" w:rsidP="00481903">
            <w:pPr>
              <w:pStyle w:val="TableText"/>
              <w:spacing w:line="240" w:lineRule="auto"/>
              <w:jc w:val="right"/>
              <w:cnfStyle w:val="000000000000" w:firstRow="0" w:lastRow="0" w:firstColumn="0" w:lastColumn="0" w:oddVBand="0" w:evenVBand="0" w:oddHBand="0" w:evenHBand="0" w:firstRowFirstColumn="0" w:firstRowLastColumn="0" w:lastRowFirstColumn="0" w:lastRowLastColumn="0"/>
              <w:rPr>
                <w:sz w:val="12"/>
                <w:szCs w:val="12"/>
              </w:rPr>
            </w:pPr>
          </w:p>
        </w:tc>
        <w:tc>
          <w:tcPr>
            <w:tcW w:w="662" w:type="dxa"/>
            <w:tcBorders>
              <w:left w:val="single" w:sz="4" w:space="0" w:color="auto"/>
            </w:tcBorders>
          </w:tcPr>
          <w:p w14:paraId="5AC48AFF" w14:textId="15A4A1A1" w:rsidR="00F16A45" w:rsidRPr="000F1F50" w:rsidRDefault="00F16A45" w:rsidP="00481903">
            <w:pPr>
              <w:pStyle w:val="TableText"/>
              <w:spacing w:line="240" w:lineRule="auto"/>
              <w:jc w:val="right"/>
              <w:cnfStyle w:val="000000000000" w:firstRow="0" w:lastRow="0" w:firstColumn="0" w:lastColumn="0" w:oddVBand="0" w:evenVBand="0" w:oddHBand="0" w:evenHBand="0" w:firstRowFirstColumn="0" w:firstRowLastColumn="0" w:lastRowFirstColumn="0" w:lastRowLastColumn="0"/>
              <w:rPr>
                <w:sz w:val="12"/>
                <w:szCs w:val="12"/>
              </w:rPr>
            </w:pPr>
            <w:r w:rsidRPr="000F1F50">
              <w:rPr>
                <w:sz w:val="12"/>
                <w:szCs w:val="12"/>
              </w:rPr>
              <w:t>184,929</w:t>
            </w:r>
          </w:p>
        </w:tc>
        <w:tc>
          <w:tcPr>
            <w:tcW w:w="425" w:type="dxa"/>
          </w:tcPr>
          <w:p w14:paraId="25F4AA75" w14:textId="77777777" w:rsidR="00F16A45" w:rsidRPr="000F1F50" w:rsidRDefault="00F16A45" w:rsidP="00481903">
            <w:pPr>
              <w:pStyle w:val="TableText"/>
              <w:spacing w:line="240" w:lineRule="auto"/>
              <w:jc w:val="right"/>
              <w:cnfStyle w:val="000000000000" w:firstRow="0" w:lastRow="0" w:firstColumn="0" w:lastColumn="0" w:oddVBand="0" w:evenVBand="0" w:oddHBand="0" w:evenHBand="0" w:firstRowFirstColumn="0" w:firstRowLastColumn="0" w:lastRowFirstColumn="0" w:lastRowLastColumn="0"/>
              <w:rPr>
                <w:sz w:val="12"/>
                <w:szCs w:val="12"/>
              </w:rPr>
            </w:pPr>
          </w:p>
        </w:tc>
        <w:tc>
          <w:tcPr>
            <w:tcW w:w="755" w:type="dxa"/>
          </w:tcPr>
          <w:p w14:paraId="0F86DA44" w14:textId="67D959F4" w:rsidR="00F16A45" w:rsidRPr="000F1F50" w:rsidRDefault="00F16A45" w:rsidP="00481903">
            <w:pPr>
              <w:pStyle w:val="TableText"/>
              <w:spacing w:line="240" w:lineRule="auto"/>
              <w:jc w:val="right"/>
              <w:cnfStyle w:val="000000000000" w:firstRow="0" w:lastRow="0" w:firstColumn="0" w:lastColumn="0" w:oddVBand="0" w:evenVBand="0" w:oddHBand="0" w:evenHBand="0" w:firstRowFirstColumn="0" w:firstRowLastColumn="0" w:lastRowFirstColumn="0" w:lastRowLastColumn="0"/>
              <w:rPr>
                <w:sz w:val="12"/>
                <w:szCs w:val="12"/>
              </w:rPr>
            </w:pPr>
            <w:r w:rsidRPr="000F1F50">
              <w:rPr>
                <w:sz w:val="12"/>
                <w:szCs w:val="12"/>
              </w:rPr>
              <w:t>131,549</w:t>
            </w:r>
          </w:p>
        </w:tc>
        <w:tc>
          <w:tcPr>
            <w:tcW w:w="425" w:type="dxa"/>
          </w:tcPr>
          <w:p w14:paraId="42D7DB6A" w14:textId="77777777" w:rsidR="00F16A45" w:rsidRPr="000F1F50" w:rsidRDefault="00F16A45" w:rsidP="00481903">
            <w:pPr>
              <w:pStyle w:val="TableText"/>
              <w:spacing w:line="240" w:lineRule="auto"/>
              <w:jc w:val="right"/>
              <w:cnfStyle w:val="000000000000" w:firstRow="0" w:lastRow="0" w:firstColumn="0" w:lastColumn="0" w:oddVBand="0" w:evenVBand="0" w:oddHBand="0" w:evenHBand="0" w:firstRowFirstColumn="0" w:firstRowLastColumn="0" w:lastRowFirstColumn="0" w:lastRowLastColumn="0"/>
              <w:rPr>
                <w:sz w:val="12"/>
                <w:szCs w:val="12"/>
              </w:rPr>
            </w:pPr>
          </w:p>
        </w:tc>
        <w:tc>
          <w:tcPr>
            <w:tcW w:w="709" w:type="dxa"/>
          </w:tcPr>
          <w:p w14:paraId="6E635BE3" w14:textId="185CD5E3" w:rsidR="00F16A45" w:rsidRPr="000F1F50" w:rsidRDefault="00F16A45" w:rsidP="00481903">
            <w:pPr>
              <w:pStyle w:val="TableText"/>
              <w:spacing w:line="240" w:lineRule="auto"/>
              <w:jc w:val="right"/>
              <w:cnfStyle w:val="000000000000" w:firstRow="0" w:lastRow="0" w:firstColumn="0" w:lastColumn="0" w:oddVBand="0" w:evenVBand="0" w:oddHBand="0" w:evenHBand="0" w:firstRowFirstColumn="0" w:firstRowLastColumn="0" w:lastRowFirstColumn="0" w:lastRowLastColumn="0"/>
              <w:rPr>
                <w:sz w:val="12"/>
                <w:szCs w:val="12"/>
              </w:rPr>
            </w:pPr>
            <w:r w:rsidRPr="000F1F50">
              <w:rPr>
                <w:sz w:val="12"/>
                <w:szCs w:val="12"/>
              </w:rPr>
              <w:t>527,588</w:t>
            </w:r>
          </w:p>
        </w:tc>
        <w:tc>
          <w:tcPr>
            <w:tcW w:w="567" w:type="dxa"/>
          </w:tcPr>
          <w:p w14:paraId="55C39AEE" w14:textId="77777777" w:rsidR="00F16A45" w:rsidRPr="000F1F50" w:rsidRDefault="00F16A45" w:rsidP="00481903">
            <w:pPr>
              <w:pStyle w:val="TableText"/>
              <w:spacing w:line="240" w:lineRule="auto"/>
              <w:jc w:val="right"/>
              <w:cnfStyle w:val="000000000000" w:firstRow="0" w:lastRow="0" w:firstColumn="0" w:lastColumn="0" w:oddVBand="0" w:evenVBand="0" w:oddHBand="0" w:evenHBand="0" w:firstRowFirstColumn="0" w:firstRowLastColumn="0" w:lastRowFirstColumn="0" w:lastRowLastColumn="0"/>
              <w:rPr>
                <w:sz w:val="12"/>
                <w:szCs w:val="12"/>
              </w:rPr>
            </w:pPr>
          </w:p>
        </w:tc>
        <w:tc>
          <w:tcPr>
            <w:tcW w:w="709" w:type="dxa"/>
          </w:tcPr>
          <w:p w14:paraId="4BE012CE" w14:textId="3C861CB0" w:rsidR="00F16A45" w:rsidRPr="000F1F50" w:rsidRDefault="00F16A45" w:rsidP="00481903">
            <w:pPr>
              <w:pStyle w:val="TableText"/>
              <w:spacing w:line="240" w:lineRule="auto"/>
              <w:jc w:val="right"/>
              <w:cnfStyle w:val="000000000000" w:firstRow="0" w:lastRow="0" w:firstColumn="0" w:lastColumn="0" w:oddVBand="0" w:evenVBand="0" w:oddHBand="0" w:evenHBand="0" w:firstRowFirstColumn="0" w:firstRowLastColumn="0" w:lastRowFirstColumn="0" w:lastRowLastColumn="0"/>
              <w:rPr>
                <w:sz w:val="12"/>
                <w:szCs w:val="12"/>
              </w:rPr>
            </w:pPr>
            <w:r w:rsidRPr="000F1F50">
              <w:rPr>
                <w:sz w:val="12"/>
                <w:szCs w:val="12"/>
              </w:rPr>
              <w:t>461,230</w:t>
            </w:r>
          </w:p>
        </w:tc>
        <w:tc>
          <w:tcPr>
            <w:tcW w:w="548" w:type="dxa"/>
            <w:tcBorders>
              <w:right w:val="single" w:sz="4" w:space="0" w:color="auto"/>
            </w:tcBorders>
          </w:tcPr>
          <w:p w14:paraId="6E3E4B24" w14:textId="77777777" w:rsidR="00F16A45" w:rsidRPr="000F1F50" w:rsidRDefault="00F16A45" w:rsidP="00481903">
            <w:pPr>
              <w:pStyle w:val="TableText"/>
              <w:spacing w:line="240" w:lineRule="auto"/>
              <w:jc w:val="right"/>
              <w:cnfStyle w:val="000000000000" w:firstRow="0" w:lastRow="0" w:firstColumn="0" w:lastColumn="0" w:oddVBand="0" w:evenVBand="0" w:oddHBand="0" w:evenHBand="0" w:firstRowFirstColumn="0" w:firstRowLastColumn="0" w:lastRowFirstColumn="0" w:lastRowLastColumn="0"/>
              <w:rPr>
                <w:sz w:val="12"/>
                <w:szCs w:val="12"/>
              </w:rPr>
            </w:pPr>
          </w:p>
        </w:tc>
        <w:tc>
          <w:tcPr>
            <w:tcW w:w="823" w:type="dxa"/>
            <w:tcBorders>
              <w:left w:val="single" w:sz="4" w:space="0" w:color="auto"/>
            </w:tcBorders>
          </w:tcPr>
          <w:p w14:paraId="5C9E8829" w14:textId="77777777" w:rsidR="00F16A45" w:rsidRPr="000F1F50" w:rsidRDefault="00F16A45" w:rsidP="00481903">
            <w:pPr>
              <w:pStyle w:val="TableText"/>
              <w:spacing w:line="240" w:lineRule="auto"/>
              <w:jc w:val="right"/>
              <w:cnfStyle w:val="000000000000" w:firstRow="0" w:lastRow="0" w:firstColumn="0" w:lastColumn="0" w:oddVBand="0" w:evenVBand="0" w:oddHBand="0" w:evenHBand="0" w:firstRowFirstColumn="0" w:firstRowLastColumn="0" w:lastRowFirstColumn="0" w:lastRowLastColumn="0"/>
              <w:rPr>
                <w:sz w:val="12"/>
                <w:szCs w:val="12"/>
              </w:rPr>
            </w:pPr>
          </w:p>
        </w:tc>
        <w:tc>
          <w:tcPr>
            <w:tcW w:w="851" w:type="dxa"/>
          </w:tcPr>
          <w:p w14:paraId="13F154DC" w14:textId="77777777" w:rsidR="00F16A45" w:rsidRPr="000F1F50" w:rsidRDefault="00F16A45" w:rsidP="00481903">
            <w:pPr>
              <w:pStyle w:val="TableText"/>
              <w:spacing w:line="240" w:lineRule="auto"/>
              <w:jc w:val="right"/>
              <w:cnfStyle w:val="000000000000" w:firstRow="0" w:lastRow="0" w:firstColumn="0" w:lastColumn="0" w:oddVBand="0" w:evenVBand="0" w:oddHBand="0" w:evenHBand="0" w:firstRowFirstColumn="0" w:firstRowLastColumn="0" w:lastRowFirstColumn="0" w:lastRowLastColumn="0"/>
              <w:rPr>
                <w:sz w:val="12"/>
                <w:szCs w:val="12"/>
              </w:rPr>
            </w:pPr>
          </w:p>
        </w:tc>
        <w:tc>
          <w:tcPr>
            <w:tcW w:w="1276" w:type="dxa"/>
          </w:tcPr>
          <w:p w14:paraId="3B3D76B3" w14:textId="77777777" w:rsidR="00F16A45" w:rsidRPr="000F1F50" w:rsidRDefault="00F16A45" w:rsidP="00481903">
            <w:pPr>
              <w:pStyle w:val="TableText"/>
              <w:spacing w:line="240" w:lineRule="auto"/>
              <w:jc w:val="right"/>
              <w:cnfStyle w:val="000000000000" w:firstRow="0" w:lastRow="0" w:firstColumn="0" w:lastColumn="0" w:oddVBand="0" w:evenVBand="0" w:oddHBand="0" w:evenHBand="0" w:firstRowFirstColumn="0" w:firstRowLastColumn="0" w:lastRowFirstColumn="0" w:lastRowLastColumn="0"/>
              <w:rPr>
                <w:sz w:val="12"/>
                <w:szCs w:val="12"/>
              </w:rPr>
            </w:pPr>
          </w:p>
        </w:tc>
        <w:tc>
          <w:tcPr>
            <w:tcW w:w="1038" w:type="dxa"/>
          </w:tcPr>
          <w:p w14:paraId="7639D538" w14:textId="77777777" w:rsidR="00F16A45" w:rsidRPr="000F1F50" w:rsidRDefault="00F16A45" w:rsidP="00481903">
            <w:pPr>
              <w:pStyle w:val="TableText"/>
              <w:spacing w:line="240" w:lineRule="auto"/>
              <w:jc w:val="right"/>
              <w:cnfStyle w:val="000000000000" w:firstRow="0" w:lastRow="0" w:firstColumn="0" w:lastColumn="0" w:oddVBand="0" w:evenVBand="0" w:oddHBand="0" w:evenHBand="0" w:firstRowFirstColumn="0" w:firstRowLastColumn="0" w:lastRowFirstColumn="0" w:lastRowLastColumn="0"/>
              <w:rPr>
                <w:sz w:val="12"/>
                <w:szCs w:val="12"/>
              </w:rPr>
            </w:pPr>
          </w:p>
        </w:tc>
      </w:tr>
      <w:tr w:rsidR="0088420A" w:rsidRPr="000F1F50" w14:paraId="3DE6D2F5" w14:textId="23B5BF08" w:rsidTr="008842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 w:type="dxa"/>
          </w:tcPr>
          <w:p w14:paraId="29185D6D" w14:textId="77777777" w:rsidR="00F16A45" w:rsidRPr="000F1F50" w:rsidRDefault="00F16A45" w:rsidP="00F16A45">
            <w:pPr>
              <w:pStyle w:val="TableText"/>
              <w:spacing w:line="240" w:lineRule="auto"/>
              <w:rPr>
                <w:sz w:val="12"/>
                <w:szCs w:val="12"/>
              </w:rPr>
            </w:pPr>
          </w:p>
        </w:tc>
        <w:tc>
          <w:tcPr>
            <w:tcW w:w="756" w:type="dxa"/>
            <w:tcBorders>
              <w:right w:val="single" w:sz="4" w:space="0" w:color="auto"/>
            </w:tcBorders>
          </w:tcPr>
          <w:p w14:paraId="26C4F7C4" w14:textId="60D79430" w:rsidR="00F16A45" w:rsidRPr="000F1F50" w:rsidRDefault="00F16A45" w:rsidP="00F16A45">
            <w:pPr>
              <w:pStyle w:val="TableText"/>
              <w:spacing w:line="240" w:lineRule="auto"/>
              <w:cnfStyle w:val="000000100000" w:firstRow="0" w:lastRow="0" w:firstColumn="0" w:lastColumn="0" w:oddVBand="0" w:evenVBand="0" w:oddHBand="1" w:evenHBand="0" w:firstRowFirstColumn="0" w:firstRowLastColumn="0" w:lastRowFirstColumn="0" w:lastRowLastColumn="0"/>
              <w:rPr>
                <w:sz w:val="12"/>
                <w:szCs w:val="12"/>
              </w:rPr>
            </w:pPr>
            <w:r w:rsidRPr="000F1F50">
              <w:rPr>
                <w:sz w:val="12"/>
                <w:szCs w:val="12"/>
              </w:rPr>
              <w:t>2/2/</w:t>
            </w:r>
            <w:r w:rsidR="00DE4991" w:rsidRPr="000F1F50">
              <w:rPr>
                <w:sz w:val="12"/>
                <w:szCs w:val="12"/>
              </w:rPr>
              <w:t>20</w:t>
            </w:r>
            <w:r w:rsidR="00DE4991">
              <w:rPr>
                <w:sz w:val="12"/>
                <w:szCs w:val="12"/>
              </w:rPr>
              <w:t>22</w:t>
            </w:r>
          </w:p>
        </w:tc>
        <w:tc>
          <w:tcPr>
            <w:tcW w:w="755" w:type="dxa"/>
            <w:tcBorders>
              <w:left w:val="single" w:sz="4" w:space="0" w:color="auto"/>
            </w:tcBorders>
          </w:tcPr>
          <w:p w14:paraId="6D61D385" w14:textId="628B005C" w:rsidR="00F16A45" w:rsidRPr="000F1F50" w:rsidRDefault="00F16A45" w:rsidP="00481903">
            <w:pPr>
              <w:pStyle w:val="TableText"/>
              <w:spacing w:line="240" w:lineRule="auto"/>
              <w:jc w:val="right"/>
              <w:cnfStyle w:val="000000100000" w:firstRow="0" w:lastRow="0" w:firstColumn="0" w:lastColumn="0" w:oddVBand="0" w:evenVBand="0" w:oddHBand="1" w:evenHBand="0" w:firstRowFirstColumn="0" w:firstRowLastColumn="0" w:lastRowFirstColumn="0" w:lastRowLastColumn="0"/>
              <w:rPr>
                <w:sz w:val="12"/>
                <w:szCs w:val="12"/>
              </w:rPr>
            </w:pPr>
            <w:r w:rsidRPr="000F1F50">
              <w:rPr>
                <w:sz w:val="12"/>
                <w:szCs w:val="12"/>
              </w:rPr>
              <w:t>185</w:t>
            </w:r>
            <w:r w:rsidR="00481903" w:rsidRPr="000F1F50">
              <w:rPr>
                <w:sz w:val="12"/>
                <w:szCs w:val="12"/>
              </w:rPr>
              <w:t>,</w:t>
            </w:r>
            <w:r w:rsidRPr="000F1F50">
              <w:rPr>
                <w:sz w:val="12"/>
                <w:szCs w:val="12"/>
              </w:rPr>
              <w:t>336</w:t>
            </w:r>
          </w:p>
        </w:tc>
        <w:tc>
          <w:tcPr>
            <w:tcW w:w="425" w:type="dxa"/>
          </w:tcPr>
          <w:p w14:paraId="5CFC93CB" w14:textId="4AC27B3E" w:rsidR="00F16A45" w:rsidRPr="000F1F50" w:rsidRDefault="00F16A45" w:rsidP="00481903">
            <w:pPr>
              <w:pStyle w:val="TableText"/>
              <w:spacing w:line="240" w:lineRule="auto"/>
              <w:jc w:val="right"/>
              <w:cnfStyle w:val="000000100000" w:firstRow="0" w:lastRow="0" w:firstColumn="0" w:lastColumn="0" w:oddVBand="0" w:evenVBand="0" w:oddHBand="1" w:evenHBand="0" w:firstRowFirstColumn="0" w:firstRowLastColumn="0" w:lastRowFirstColumn="0" w:lastRowLastColumn="0"/>
              <w:rPr>
                <w:sz w:val="12"/>
                <w:szCs w:val="12"/>
              </w:rPr>
            </w:pPr>
            <w:r w:rsidRPr="000F1F50">
              <w:rPr>
                <w:sz w:val="12"/>
                <w:szCs w:val="12"/>
              </w:rPr>
              <w:t>407</w:t>
            </w:r>
          </w:p>
        </w:tc>
        <w:tc>
          <w:tcPr>
            <w:tcW w:w="709" w:type="dxa"/>
          </w:tcPr>
          <w:p w14:paraId="60BEC3F6" w14:textId="0999BED7" w:rsidR="00F16A45" w:rsidRPr="000F1F50" w:rsidRDefault="00F16A45" w:rsidP="00481903">
            <w:pPr>
              <w:pStyle w:val="TableText"/>
              <w:spacing w:line="240" w:lineRule="auto"/>
              <w:jc w:val="right"/>
              <w:cnfStyle w:val="000000100000" w:firstRow="0" w:lastRow="0" w:firstColumn="0" w:lastColumn="0" w:oddVBand="0" w:evenVBand="0" w:oddHBand="1" w:evenHBand="0" w:firstRowFirstColumn="0" w:firstRowLastColumn="0" w:lastRowFirstColumn="0" w:lastRowLastColumn="0"/>
              <w:rPr>
                <w:sz w:val="12"/>
                <w:szCs w:val="12"/>
              </w:rPr>
            </w:pPr>
            <w:r w:rsidRPr="000F1F50">
              <w:rPr>
                <w:sz w:val="12"/>
                <w:szCs w:val="12"/>
              </w:rPr>
              <w:t>132</w:t>
            </w:r>
            <w:r w:rsidR="00481903" w:rsidRPr="000F1F50">
              <w:rPr>
                <w:sz w:val="12"/>
                <w:szCs w:val="12"/>
              </w:rPr>
              <w:t>,</w:t>
            </w:r>
            <w:r w:rsidRPr="000F1F50">
              <w:rPr>
                <w:sz w:val="12"/>
                <w:szCs w:val="12"/>
              </w:rPr>
              <w:t>296</w:t>
            </w:r>
          </w:p>
        </w:tc>
        <w:tc>
          <w:tcPr>
            <w:tcW w:w="425" w:type="dxa"/>
          </w:tcPr>
          <w:p w14:paraId="11709FD1" w14:textId="3418C879" w:rsidR="00F16A45" w:rsidRPr="000F1F50" w:rsidRDefault="00F16A45" w:rsidP="00481903">
            <w:pPr>
              <w:pStyle w:val="TableText"/>
              <w:spacing w:line="240" w:lineRule="auto"/>
              <w:jc w:val="right"/>
              <w:cnfStyle w:val="000000100000" w:firstRow="0" w:lastRow="0" w:firstColumn="0" w:lastColumn="0" w:oddVBand="0" w:evenVBand="0" w:oddHBand="1" w:evenHBand="0" w:firstRowFirstColumn="0" w:firstRowLastColumn="0" w:lastRowFirstColumn="0" w:lastRowLastColumn="0"/>
              <w:rPr>
                <w:sz w:val="12"/>
                <w:szCs w:val="12"/>
              </w:rPr>
            </w:pPr>
            <w:r w:rsidRPr="000F1F50">
              <w:rPr>
                <w:sz w:val="12"/>
                <w:szCs w:val="12"/>
              </w:rPr>
              <w:t>747</w:t>
            </w:r>
          </w:p>
        </w:tc>
        <w:tc>
          <w:tcPr>
            <w:tcW w:w="709" w:type="dxa"/>
          </w:tcPr>
          <w:p w14:paraId="28AFDA89" w14:textId="6A3AE36B" w:rsidR="00F16A45" w:rsidRPr="000F1F50" w:rsidRDefault="00F16A45" w:rsidP="00481903">
            <w:pPr>
              <w:pStyle w:val="TableText"/>
              <w:spacing w:line="240" w:lineRule="auto"/>
              <w:jc w:val="right"/>
              <w:cnfStyle w:val="000000100000" w:firstRow="0" w:lastRow="0" w:firstColumn="0" w:lastColumn="0" w:oddVBand="0" w:evenVBand="0" w:oddHBand="1" w:evenHBand="0" w:firstRowFirstColumn="0" w:firstRowLastColumn="0" w:lastRowFirstColumn="0" w:lastRowLastColumn="0"/>
              <w:rPr>
                <w:sz w:val="12"/>
                <w:szCs w:val="12"/>
              </w:rPr>
            </w:pPr>
            <w:r w:rsidRPr="000F1F50">
              <w:rPr>
                <w:sz w:val="12"/>
                <w:szCs w:val="12"/>
              </w:rPr>
              <w:t>528</w:t>
            </w:r>
            <w:r w:rsidR="00481903" w:rsidRPr="000F1F50">
              <w:rPr>
                <w:sz w:val="12"/>
                <w:szCs w:val="12"/>
              </w:rPr>
              <w:t>,</w:t>
            </w:r>
            <w:r w:rsidRPr="000F1F50">
              <w:rPr>
                <w:sz w:val="12"/>
                <w:szCs w:val="12"/>
              </w:rPr>
              <w:t>695</w:t>
            </w:r>
          </w:p>
        </w:tc>
        <w:tc>
          <w:tcPr>
            <w:tcW w:w="567" w:type="dxa"/>
          </w:tcPr>
          <w:p w14:paraId="7D5F89CA" w14:textId="14BC5DBA" w:rsidR="00F16A45" w:rsidRPr="000F1F50" w:rsidRDefault="00F16A45" w:rsidP="00481903">
            <w:pPr>
              <w:pStyle w:val="TableText"/>
              <w:spacing w:line="240" w:lineRule="auto"/>
              <w:jc w:val="right"/>
              <w:cnfStyle w:val="000000100000" w:firstRow="0" w:lastRow="0" w:firstColumn="0" w:lastColumn="0" w:oddVBand="0" w:evenVBand="0" w:oddHBand="1" w:evenHBand="0" w:firstRowFirstColumn="0" w:firstRowLastColumn="0" w:lastRowFirstColumn="0" w:lastRowLastColumn="0"/>
              <w:rPr>
                <w:sz w:val="12"/>
                <w:szCs w:val="12"/>
              </w:rPr>
            </w:pPr>
            <w:r w:rsidRPr="000F1F50">
              <w:rPr>
                <w:sz w:val="12"/>
                <w:szCs w:val="12"/>
              </w:rPr>
              <w:t>1107</w:t>
            </w:r>
          </w:p>
        </w:tc>
        <w:tc>
          <w:tcPr>
            <w:tcW w:w="709" w:type="dxa"/>
          </w:tcPr>
          <w:p w14:paraId="1A7E2356" w14:textId="70336B3E" w:rsidR="00F16A45" w:rsidRPr="000F1F50" w:rsidRDefault="00F16A45" w:rsidP="00481903">
            <w:pPr>
              <w:pStyle w:val="TableText"/>
              <w:spacing w:line="240" w:lineRule="auto"/>
              <w:jc w:val="right"/>
              <w:cnfStyle w:val="000000100000" w:firstRow="0" w:lastRow="0" w:firstColumn="0" w:lastColumn="0" w:oddVBand="0" w:evenVBand="0" w:oddHBand="1" w:evenHBand="0" w:firstRowFirstColumn="0" w:firstRowLastColumn="0" w:lastRowFirstColumn="0" w:lastRowLastColumn="0"/>
              <w:rPr>
                <w:sz w:val="12"/>
                <w:szCs w:val="12"/>
              </w:rPr>
            </w:pPr>
            <w:r w:rsidRPr="000F1F50">
              <w:rPr>
                <w:sz w:val="12"/>
                <w:szCs w:val="12"/>
              </w:rPr>
              <w:t>462</w:t>
            </w:r>
            <w:r w:rsidR="00481903" w:rsidRPr="000F1F50">
              <w:rPr>
                <w:sz w:val="12"/>
                <w:szCs w:val="12"/>
              </w:rPr>
              <w:t>,</w:t>
            </w:r>
            <w:r w:rsidRPr="000F1F50">
              <w:rPr>
                <w:sz w:val="12"/>
                <w:szCs w:val="12"/>
              </w:rPr>
              <w:t>679</w:t>
            </w:r>
          </w:p>
        </w:tc>
        <w:tc>
          <w:tcPr>
            <w:tcW w:w="567" w:type="dxa"/>
            <w:tcBorders>
              <w:right w:val="single" w:sz="4" w:space="0" w:color="auto"/>
            </w:tcBorders>
          </w:tcPr>
          <w:p w14:paraId="5AC6A85A" w14:textId="3F42CC43" w:rsidR="00F16A45" w:rsidRPr="000F1F50" w:rsidRDefault="00F16A45" w:rsidP="00481903">
            <w:pPr>
              <w:pStyle w:val="TableText"/>
              <w:spacing w:line="240" w:lineRule="auto"/>
              <w:jc w:val="right"/>
              <w:cnfStyle w:val="000000100000" w:firstRow="0" w:lastRow="0" w:firstColumn="0" w:lastColumn="0" w:oddVBand="0" w:evenVBand="0" w:oddHBand="1" w:evenHBand="0" w:firstRowFirstColumn="0" w:firstRowLastColumn="0" w:lastRowFirstColumn="0" w:lastRowLastColumn="0"/>
              <w:rPr>
                <w:sz w:val="12"/>
                <w:szCs w:val="12"/>
              </w:rPr>
            </w:pPr>
            <w:r w:rsidRPr="000F1F50">
              <w:rPr>
                <w:sz w:val="12"/>
                <w:szCs w:val="12"/>
              </w:rPr>
              <w:t>1449</w:t>
            </w:r>
          </w:p>
        </w:tc>
        <w:tc>
          <w:tcPr>
            <w:tcW w:w="662" w:type="dxa"/>
            <w:tcBorders>
              <w:left w:val="single" w:sz="4" w:space="0" w:color="auto"/>
            </w:tcBorders>
          </w:tcPr>
          <w:p w14:paraId="66C25288" w14:textId="7FA60E86" w:rsidR="00F16A45" w:rsidRPr="000F1F50" w:rsidRDefault="00F16A45" w:rsidP="00481903">
            <w:pPr>
              <w:pStyle w:val="TableText"/>
              <w:spacing w:line="240" w:lineRule="auto"/>
              <w:jc w:val="right"/>
              <w:cnfStyle w:val="000000100000" w:firstRow="0" w:lastRow="0" w:firstColumn="0" w:lastColumn="0" w:oddVBand="0" w:evenVBand="0" w:oddHBand="1" w:evenHBand="0" w:firstRowFirstColumn="0" w:firstRowLastColumn="0" w:lastRowFirstColumn="0" w:lastRowLastColumn="0"/>
              <w:rPr>
                <w:sz w:val="12"/>
                <w:szCs w:val="12"/>
              </w:rPr>
            </w:pPr>
            <w:r w:rsidRPr="000F1F50">
              <w:rPr>
                <w:sz w:val="12"/>
                <w:szCs w:val="12"/>
              </w:rPr>
              <w:t>185</w:t>
            </w:r>
            <w:r w:rsidR="00481903" w:rsidRPr="000F1F50">
              <w:rPr>
                <w:sz w:val="12"/>
                <w:szCs w:val="12"/>
              </w:rPr>
              <w:t>,</w:t>
            </w:r>
            <w:r w:rsidRPr="000F1F50">
              <w:rPr>
                <w:sz w:val="12"/>
                <w:szCs w:val="12"/>
              </w:rPr>
              <w:t>336</w:t>
            </w:r>
          </w:p>
        </w:tc>
        <w:tc>
          <w:tcPr>
            <w:tcW w:w="425" w:type="dxa"/>
          </w:tcPr>
          <w:p w14:paraId="3ABB879E" w14:textId="167F5F75" w:rsidR="00F16A45" w:rsidRPr="000F1F50" w:rsidRDefault="00F16A45" w:rsidP="00481903">
            <w:pPr>
              <w:pStyle w:val="TableText"/>
              <w:spacing w:line="240" w:lineRule="auto"/>
              <w:jc w:val="right"/>
              <w:cnfStyle w:val="000000100000" w:firstRow="0" w:lastRow="0" w:firstColumn="0" w:lastColumn="0" w:oddVBand="0" w:evenVBand="0" w:oddHBand="1" w:evenHBand="0" w:firstRowFirstColumn="0" w:firstRowLastColumn="0" w:lastRowFirstColumn="0" w:lastRowLastColumn="0"/>
              <w:rPr>
                <w:sz w:val="12"/>
                <w:szCs w:val="12"/>
              </w:rPr>
            </w:pPr>
            <w:r w:rsidRPr="000F1F50">
              <w:rPr>
                <w:sz w:val="12"/>
                <w:szCs w:val="12"/>
              </w:rPr>
              <w:t>407</w:t>
            </w:r>
          </w:p>
        </w:tc>
        <w:tc>
          <w:tcPr>
            <w:tcW w:w="755" w:type="dxa"/>
          </w:tcPr>
          <w:p w14:paraId="3CC0D373" w14:textId="20882531" w:rsidR="00F16A45" w:rsidRPr="000F1F50" w:rsidRDefault="00F16A45" w:rsidP="00481903">
            <w:pPr>
              <w:pStyle w:val="TableText"/>
              <w:spacing w:line="240" w:lineRule="auto"/>
              <w:jc w:val="right"/>
              <w:cnfStyle w:val="000000100000" w:firstRow="0" w:lastRow="0" w:firstColumn="0" w:lastColumn="0" w:oddVBand="0" w:evenVBand="0" w:oddHBand="1" w:evenHBand="0" w:firstRowFirstColumn="0" w:firstRowLastColumn="0" w:lastRowFirstColumn="0" w:lastRowLastColumn="0"/>
              <w:rPr>
                <w:sz w:val="12"/>
                <w:szCs w:val="12"/>
              </w:rPr>
            </w:pPr>
            <w:r w:rsidRPr="000F1F50">
              <w:rPr>
                <w:sz w:val="12"/>
                <w:szCs w:val="12"/>
              </w:rPr>
              <w:t>132</w:t>
            </w:r>
            <w:r w:rsidR="00481903" w:rsidRPr="000F1F50">
              <w:rPr>
                <w:sz w:val="12"/>
                <w:szCs w:val="12"/>
              </w:rPr>
              <w:t>,</w:t>
            </w:r>
            <w:r w:rsidRPr="000F1F50">
              <w:rPr>
                <w:sz w:val="12"/>
                <w:szCs w:val="12"/>
              </w:rPr>
              <w:t>296</w:t>
            </w:r>
          </w:p>
        </w:tc>
        <w:tc>
          <w:tcPr>
            <w:tcW w:w="425" w:type="dxa"/>
          </w:tcPr>
          <w:p w14:paraId="747FD3CE" w14:textId="2A0BB807" w:rsidR="00F16A45" w:rsidRPr="000F1F50" w:rsidRDefault="00F16A45" w:rsidP="00481903">
            <w:pPr>
              <w:pStyle w:val="TableText"/>
              <w:spacing w:line="240" w:lineRule="auto"/>
              <w:jc w:val="right"/>
              <w:cnfStyle w:val="000000100000" w:firstRow="0" w:lastRow="0" w:firstColumn="0" w:lastColumn="0" w:oddVBand="0" w:evenVBand="0" w:oddHBand="1" w:evenHBand="0" w:firstRowFirstColumn="0" w:firstRowLastColumn="0" w:lastRowFirstColumn="0" w:lastRowLastColumn="0"/>
              <w:rPr>
                <w:sz w:val="12"/>
                <w:szCs w:val="12"/>
              </w:rPr>
            </w:pPr>
            <w:r w:rsidRPr="000F1F50">
              <w:rPr>
                <w:sz w:val="12"/>
                <w:szCs w:val="12"/>
              </w:rPr>
              <w:t>747</w:t>
            </w:r>
          </w:p>
        </w:tc>
        <w:tc>
          <w:tcPr>
            <w:tcW w:w="709" w:type="dxa"/>
          </w:tcPr>
          <w:p w14:paraId="5C782D52" w14:textId="22077BAE" w:rsidR="00F16A45" w:rsidRPr="000F1F50" w:rsidRDefault="00F16A45" w:rsidP="00481903">
            <w:pPr>
              <w:pStyle w:val="TableText"/>
              <w:spacing w:line="240" w:lineRule="auto"/>
              <w:jc w:val="right"/>
              <w:cnfStyle w:val="000000100000" w:firstRow="0" w:lastRow="0" w:firstColumn="0" w:lastColumn="0" w:oddVBand="0" w:evenVBand="0" w:oddHBand="1" w:evenHBand="0" w:firstRowFirstColumn="0" w:firstRowLastColumn="0" w:lastRowFirstColumn="0" w:lastRowLastColumn="0"/>
              <w:rPr>
                <w:sz w:val="12"/>
                <w:szCs w:val="12"/>
              </w:rPr>
            </w:pPr>
            <w:r w:rsidRPr="000F1F50">
              <w:rPr>
                <w:sz w:val="12"/>
                <w:szCs w:val="12"/>
              </w:rPr>
              <w:t>528</w:t>
            </w:r>
            <w:r w:rsidR="00481903" w:rsidRPr="000F1F50">
              <w:rPr>
                <w:sz w:val="12"/>
                <w:szCs w:val="12"/>
              </w:rPr>
              <w:t>,</w:t>
            </w:r>
            <w:r w:rsidRPr="000F1F50">
              <w:rPr>
                <w:sz w:val="12"/>
                <w:szCs w:val="12"/>
              </w:rPr>
              <w:t>695</w:t>
            </w:r>
          </w:p>
        </w:tc>
        <w:tc>
          <w:tcPr>
            <w:tcW w:w="567" w:type="dxa"/>
          </w:tcPr>
          <w:p w14:paraId="5705FD94" w14:textId="06BCE3DE" w:rsidR="00F16A45" w:rsidRPr="000F1F50" w:rsidRDefault="00F16A45" w:rsidP="00481903">
            <w:pPr>
              <w:pStyle w:val="TableText"/>
              <w:spacing w:line="240" w:lineRule="auto"/>
              <w:jc w:val="right"/>
              <w:cnfStyle w:val="000000100000" w:firstRow="0" w:lastRow="0" w:firstColumn="0" w:lastColumn="0" w:oddVBand="0" w:evenVBand="0" w:oddHBand="1" w:evenHBand="0" w:firstRowFirstColumn="0" w:firstRowLastColumn="0" w:lastRowFirstColumn="0" w:lastRowLastColumn="0"/>
              <w:rPr>
                <w:sz w:val="12"/>
                <w:szCs w:val="12"/>
              </w:rPr>
            </w:pPr>
            <w:r w:rsidRPr="000F1F50">
              <w:rPr>
                <w:sz w:val="12"/>
                <w:szCs w:val="12"/>
              </w:rPr>
              <w:t>1107</w:t>
            </w:r>
          </w:p>
        </w:tc>
        <w:tc>
          <w:tcPr>
            <w:tcW w:w="709" w:type="dxa"/>
          </w:tcPr>
          <w:p w14:paraId="55360A49" w14:textId="14208281" w:rsidR="00F16A45" w:rsidRPr="000F1F50" w:rsidRDefault="00F16A45" w:rsidP="00481903">
            <w:pPr>
              <w:pStyle w:val="TableText"/>
              <w:spacing w:line="240" w:lineRule="auto"/>
              <w:jc w:val="right"/>
              <w:cnfStyle w:val="000000100000" w:firstRow="0" w:lastRow="0" w:firstColumn="0" w:lastColumn="0" w:oddVBand="0" w:evenVBand="0" w:oddHBand="1" w:evenHBand="0" w:firstRowFirstColumn="0" w:firstRowLastColumn="0" w:lastRowFirstColumn="0" w:lastRowLastColumn="0"/>
              <w:rPr>
                <w:sz w:val="12"/>
                <w:szCs w:val="12"/>
              </w:rPr>
            </w:pPr>
            <w:r w:rsidRPr="000F1F50">
              <w:rPr>
                <w:sz w:val="12"/>
                <w:szCs w:val="12"/>
              </w:rPr>
              <w:t>462</w:t>
            </w:r>
            <w:r w:rsidR="00481903" w:rsidRPr="000F1F50">
              <w:rPr>
                <w:sz w:val="12"/>
                <w:szCs w:val="12"/>
              </w:rPr>
              <w:t>,</w:t>
            </w:r>
            <w:r w:rsidRPr="000F1F50">
              <w:rPr>
                <w:sz w:val="12"/>
                <w:szCs w:val="12"/>
              </w:rPr>
              <w:t>679</w:t>
            </w:r>
          </w:p>
        </w:tc>
        <w:tc>
          <w:tcPr>
            <w:tcW w:w="548" w:type="dxa"/>
            <w:tcBorders>
              <w:right w:val="single" w:sz="4" w:space="0" w:color="auto"/>
            </w:tcBorders>
          </w:tcPr>
          <w:p w14:paraId="15356EC2" w14:textId="4086196A" w:rsidR="00F16A45" w:rsidRPr="000F1F50" w:rsidRDefault="00F16A45" w:rsidP="00481903">
            <w:pPr>
              <w:pStyle w:val="TableText"/>
              <w:spacing w:line="240" w:lineRule="auto"/>
              <w:jc w:val="right"/>
              <w:cnfStyle w:val="000000100000" w:firstRow="0" w:lastRow="0" w:firstColumn="0" w:lastColumn="0" w:oddVBand="0" w:evenVBand="0" w:oddHBand="1" w:evenHBand="0" w:firstRowFirstColumn="0" w:firstRowLastColumn="0" w:lastRowFirstColumn="0" w:lastRowLastColumn="0"/>
              <w:rPr>
                <w:sz w:val="12"/>
                <w:szCs w:val="12"/>
              </w:rPr>
            </w:pPr>
            <w:r w:rsidRPr="000F1F50">
              <w:rPr>
                <w:sz w:val="12"/>
                <w:szCs w:val="12"/>
              </w:rPr>
              <w:t>1449</w:t>
            </w:r>
          </w:p>
        </w:tc>
        <w:tc>
          <w:tcPr>
            <w:tcW w:w="823" w:type="dxa"/>
            <w:tcBorders>
              <w:left w:val="single" w:sz="4" w:space="0" w:color="auto"/>
            </w:tcBorders>
          </w:tcPr>
          <w:p w14:paraId="7DC0CAAC" w14:textId="7389C08F" w:rsidR="00F16A45" w:rsidRPr="000F1F50" w:rsidRDefault="00F16A45" w:rsidP="00481903">
            <w:pPr>
              <w:pStyle w:val="TableText"/>
              <w:spacing w:line="240" w:lineRule="auto"/>
              <w:jc w:val="right"/>
              <w:cnfStyle w:val="000000100000" w:firstRow="0" w:lastRow="0" w:firstColumn="0" w:lastColumn="0" w:oddVBand="0" w:evenVBand="0" w:oddHBand="1" w:evenHBand="0" w:firstRowFirstColumn="0" w:firstRowLastColumn="0" w:lastRowFirstColumn="0" w:lastRowLastColumn="0"/>
              <w:rPr>
                <w:sz w:val="12"/>
                <w:szCs w:val="12"/>
              </w:rPr>
            </w:pPr>
            <w:r w:rsidRPr="000F1F50">
              <w:rPr>
                <w:sz w:val="12"/>
                <w:szCs w:val="12"/>
              </w:rPr>
              <w:t>0</w:t>
            </w:r>
          </w:p>
        </w:tc>
        <w:tc>
          <w:tcPr>
            <w:tcW w:w="851" w:type="dxa"/>
          </w:tcPr>
          <w:p w14:paraId="408BB9A0" w14:textId="06AD31FA" w:rsidR="00F16A45" w:rsidRPr="000F1F50" w:rsidRDefault="00F16A45" w:rsidP="00481903">
            <w:pPr>
              <w:pStyle w:val="TableText"/>
              <w:spacing w:line="240" w:lineRule="auto"/>
              <w:jc w:val="right"/>
              <w:cnfStyle w:val="000000100000" w:firstRow="0" w:lastRow="0" w:firstColumn="0" w:lastColumn="0" w:oddVBand="0" w:evenVBand="0" w:oddHBand="1" w:evenHBand="0" w:firstRowFirstColumn="0" w:firstRowLastColumn="0" w:lastRowFirstColumn="0" w:lastRowLastColumn="0"/>
              <w:rPr>
                <w:sz w:val="12"/>
                <w:szCs w:val="12"/>
              </w:rPr>
            </w:pPr>
            <w:r w:rsidRPr="000F1F50">
              <w:rPr>
                <w:sz w:val="12"/>
                <w:szCs w:val="12"/>
              </w:rPr>
              <w:t>0</w:t>
            </w:r>
          </w:p>
        </w:tc>
        <w:tc>
          <w:tcPr>
            <w:tcW w:w="1276" w:type="dxa"/>
          </w:tcPr>
          <w:p w14:paraId="497698B5" w14:textId="3D62F965" w:rsidR="00F16A45" w:rsidRPr="000F1F50" w:rsidRDefault="00F16A45" w:rsidP="00481903">
            <w:pPr>
              <w:pStyle w:val="TableText"/>
              <w:spacing w:line="240" w:lineRule="auto"/>
              <w:jc w:val="right"/>
              <w:cnfStyle w:val="000000100000" w:firstRow="0" w:lastRow="0" w:firstColumn="0" w:lastColumn="0" w:oddVBand="0" w:evenVBand="0" w:oddHBand="1" w:evenHBand="0" w:firstRowFirstColumn="0" w:firstRowLastColumn="0" w:lastRowFirstColumn="0" w:lastRowLastColumn="0"/>
              <w:rPr>
                <w:sz w:val="12"/>
                <w:szCs w:val="12"/>
              </w:rPr>
            </w:pPr>
            <w:r w:rsidRPr="000F1F50">
              <w:rPr>
                <w:sz w:val="12"/>
                <w:szCs w:val="12"/>
              </w:rPr>
              <w:t>0</w:t>
            </w:r>
          </w:p>
        </w:tc>
        <w:tc>
          <w:tcPr>
            <w:tcW w:w="1038" w:type="dxa"/>
          </w:tcPr>
          <w:p w14:paraId="0E6E48C9" w14:textId="19066CAA" w:rsidR="00F16A45" w:rsidRPr="000F1F50" w:rsidRDefault="00F16A45" w:rsidP="00481903">
            <w:pPr>
              <w:pStyle w:val="TableText"/>
              <w:spacing w:line="240" w:lineRule="auto"/>
              <w:jc w:val="right"/>
              <w:cnfStyle w:val="000000100000" w:firstRow="0" w:lastRow="0" w:firstColumn="0" w:lastColumn="0" w:oddVBand="0" w:evenVBand="0" w:oddHBand="1" w:evenHBand="0" w:firstRowFirstColumn="0" w:firstRowLastColumn="0" w:lastRowFirstColumn="0" w:lastRowLastColumn="0"/>
              <w:rPr>
                <w:sz w:val="12"/>
                <w:szCs w:val="12"/>
              </w:rPr>
            </w:pPr>
            <w:r w:rsidRPr="000F1F50">
              <w:rPr>
                <w:sz w:val="12"/>
                <w:szCs w:val="12"/>
              </w:rPr>
              <w:t>0</w:t>
            </w:r>
          </w:p>
        </w:tc>
      </w:tr>
      <w:tr w:rsidR="0088420A" w:rsidRPr="000F1F50" w14:paraId="6B651E04" w14:textId="37EB074F" w:rsidTr="0088420A">
        <w:tc>
          <w:tcPr>
            <w:cnfStyle w:val="001000000000" w:firstRow="0" w:lastRow="0" w:firstColumn="1" w:lastColumn="0" w:oddVBand="0" w:evenVBand="0" w:oddHBand="0" w:evenHBand="0" w:firstRowFirstColumn="0" w:firstRowLastColumn="0" w:lastRowFirstColumn="0" w:lastRowLastColumn="0"/>
            <w:tcW w:w="237" w:type="dxa"/>
          </w:tcPr>
          <w:p w14:paraId="5B37C99C" w14:textId="77777777" w:rsidR="00F16A45" w:rsidRPr="000F1F50" w:rsidRDefault="00F16A45" w:rsidP="00F16A45">
            <w:pPr>
              <w:pStyle w:val="TableText"/>
              <w:spacing w:line="240" w:lineRule="auto"/>
              <w:rPr>
                <w:sz w:val="12"/>
                <w:szCs w:val="12"/>
              </w:rPr>
            </w:pPr>
          </w:p>
        </w:tc>
        <w:tc>
          <w:tcPr>
            <w:tcW w:w="756" w:type="dxa"/>
            <w:tcBorders>
              <w:right w:val="single" w:sz="4" w:space="0" w:color="auto"/>
            </w:tcBorders>
          </w:tcPr>
          <w:p w14:paraId="063E3FE4" w14:textId="58BBEFB4" w:rsidR="00F16A45" w:rsidRPr="000F1F50" w:rsidRDefault="00F16A45" w:rsidP="00F16A45">
            <w:pPr>
              <w:pStyle w:val="TableText"/>
              <w:spacing w:line="240" w:lineRule="auto"/>
              <w:cnfStyle w:val="000000000000" w:firstRow="0" w:lastRow="0" w:firstColumn="0" w:lastColumn="0" w:oddVBand="0" w:evenVBand="0" w:oddHBand="0" w:evenHBand="0" w:firstRowFirstColumn="0" w:firstRowLastColumn="0" w:lastRowFirstColumn="0" w:lastRowLastColumn="0"/>
              <w:rPr>
                <w:sz w:val="12"/>
                <w:szCs w:val="12"/>
              </w:rPr>
            </w:pPr>
            <w:r w:rsidRPr="000F1F50">
              <w:rPr>
                <w:sz w:val="12"/>
                <w:szCs w:val="12"/>
              </w:rPr>
              <w:t>3/2/</w:t>
            </w:r>
            <w:r w:rsidR="00DE4991" w:rsidRPr="000F1F50">
              <w:rPr>
                <w:sz w:val="12"/>
                <w:szCs w:val="12"/>
              </w:rPr>
              <w:t>20</w:t>
            </w:r>
            <w:r w:rsidR="00DE4991">
              <w:rPr>
                <w:sz w:val="12"/>
                <w:szCs w:val="12"/>
              </w:rPr>
              <w:t>22</w:t>
            </w:r>
          </w:p>
        </w:tc>
        <w:tc>
          <w:tcPr>
            <w:tcW w:w="755" w:type="dxa"/>
            <w:tcBorders>
              <w:left w:val="single" w:sz="4" w:space="0" w:color="auto"/>
            </w:tcBorders>
          </w:tcPr>
          <w:p w14:paraId="1D25B59E" w14:textId="77777777" w:rsidR="00F16A45" w:rsidRPr="000F1F50" w:rsidRDefault="00F16A45" w:rsidP="00481903">
            <w:pPr>
              <w:pStyle w:val="TableText"/>
              <w:spacing w:line="240" w:lineRule="auto"/>
              <w:jc w:val="right"/>
              <w:cnfStyle w:val="000000000000" w:firstRow="0" w:lastRow="0" w:firstColumn="0" w:lastColumn="0" w:oddVBand="0" w:evenVBand="0" w:oddHBand="0" w:evenHBand="0" w:firstRowFirstColumn="0" w:firstRowLastColumn="0" w:lastRowFirstColumn="0" w:lastRowLastColumn="0"/>
              <w:rPr>
                <w:sz w:val="12"/>
                <w:szCs w:val="12"/>
              </w:rPr>
            </w:pPr>
          </w:p>
        </w:tc>
        <w:tc>
          <w:tcPr>
            <w:tcW w:w="425" w:type="dxa"/>
          </w:tcPr>
          <w:p w14:paraId="4AB5332F" w14:textId="77777777" w:rsidR="00F16A45" w:rsidRPr="000F1F50" w:rsidRDefault="00F16A45" w:rsidP="00481903">
            <w:pPr>
              <w:pStyle w:val="TableText"/>
              <w:spacing w:line="240" w:lineRule="auto"/>
              <w:jc w:val="right"/>
              <w:cnfStyle w:val="000000000000" w:firstRow="0" w:lastRow="0" w:firstColumn="0" w:lastColumn="0" w:oddVBand="0" w:evenVBand="0" w:oddHBand="0" w:evenHBand="0" w:firstRowFirstColumn="0" w:firstRowLastColumn="0" w:lastRowFirstColumn="0" w:lastRowLastColumn="0"/>
              <w:rPr>
                <w:sz w:val="12"/>
                <w:szCs w:val="12"/>
              </w:rPr>
            </w:pPr>
          </w:p>
        </w:tc>
        <w:tc>
          <w:tcPr>
            <w:tcW w:w="709" w:type="dxa"/>
          </w:tcPr>
          <w:p w14:paraId="2479622D" w14:textId="77777777" w:rsidR="00F16A45" w:rsidRPr="000F1F50" w:rsidRDefault="00F16A45" w:rsidP="00481903">
            <w:pPr>
              <w:pStyle w:val="TableText"/>
              <w:spacing w:line="240" w:lineRule="auto"/>
              <w:jc w:val="right"/>
              <w:cnfStyle w:val="000000000000" w:firstRow="0" w:lastRow="0" w:firstColumn="0" w:lastColumn="0" w:oddVBand="0" w:evenVBand="0" w:oddHBand="0" w:evenHBand="0" w:firstRowFirstColumn="0" w:firstRowLastColumn="0" w:lastRowFirstColumn="0" w:lastRowLastColumn="0"/>
              <w:rPr>
                <w:sz w:val="12"/>
                <w:szCs w:val="12"/>
              </w:rPr>
            </w:pPr>
          </w:p>
        </w:tc>
        <w:tc>
          <w:tcPr>
            <w:tcW w:w="425" w:type="dxa"/>
          </w:tcPr>
          <w:p w14:paraId="5FB8127E" w14:textId="77777777" w:rsidR="00F16A45" w:rsidRPr="000F1F50" w:rsidRDefault="00F16A45" w:rsidP="00481903">
            <w:pPr>
              <w:pStyle w:val="TableText"/>
              <w:spacing w:line="240" w:lineRule="auto"/>
              <w:jc w:val="right"/>
              <w:cnfStyle w:val="000000000000" w:firstRow="0" w:lastRow="0" w:firstColumn="0" w:lastColumn="0" w:oddVBand="0" w:evenVBand="0" w:oddHBand="0" w:evenHBand="0" w:firstRowFirstColumn="0" w:firstRowLastColumn="0" w:lastRowFirstColumn="0" w:lastRowLastColumn="0"/>
              <w:rPr>
                <w:sz w:val="12"/>
                <w:szCs w:val="12"/>
              </w:rPr>
            </w:pPr>
          </w:p>
        </w:tc>
        <w:tc>
          <w:tcPr>
            <w:tcW w:w="709" w:type="dxa"/>
          </w:tcPr>
          <w:p w14:paraId="33AA43D1" w14:textId="77777777" w:rsidR="00F16A45" w:rsidRPr="000F1F50" w:rsidRDefault="00F16A45" w:rsidP="00481903">
            <w:pPr>
              <w:pStyle w:val="TableText"/>
              <w:spacing w:line="240" w:lineRule="auto"/>
              <w:jc w:val="right"/>
              <w:cnfStyle w:val="000000000000" w:firstRow="0" w:lastRow="0" w:firstColumn="0" w:lastColumn="0" w:oddVBand="0" w:evenVBand="0" w:oddHBand="0" w:evenHBand="0" w:firstRowFirstColumn="0" w:firstRowLastColumn="0" w:lastRowFirstColumn="0" w:lastRowLastColumn="0"/>
              <w:rPr>
                <w:sz w:val="12"/>
                <w:szCs w:val="12"/>
              </w:rPr>
            </w:pPr>
          </w:p>
        </w:tc>
        <w:tc>
          <w:tcPr>
            <w:tcW w:w="567" w:type="dxa"/>
          </w:tcPr>
          <w:p w14:paraId="25F86CD0" w14:textId="77777777" w:rsidR="00F16A45" w:rsidRPr="000F1F50" w:rsidRDefault="00F16A45" w:rsidP="00481903">
            <w:pPr>
              <w:pStyle w:val="TableText"/>
              <w:spacing w:line="240" w:lineRule="auto"/>
              <w:jc w:val="right"/>
              <w:cnfStyle w:val="000000000000" w:firstRow="0" w:lastRow="0" w:firstColumn="0" w:lastColumn="0" w:oddVBand="0" w:evenVBand="0" w:oddHBand="0" w:evenHBand="0" w:firstRowFirstColumn="0" w:firstRowLastColumn="0" w:lastRowFirstColumn="0" w:lastRowLastColumn="0"/>
              <w:rPr>
                <w:sz w:val="12"/>
                <w:szCs w:val="12"/>
              </w:rPr>
            </w:pPr>
          </w:p>
        </w:tc>
        <w:tc>
          <w:tcPr>
            <w:tcW w:w="709" w:type="dxa"/>
          </w:tcPr>
          <w:p w14:paraId="4A1F7770" w14:textId="77777777" w:rsidR="00F16A45" w:rsidRPr="000F1F50" w:rsidRDefault="00F16A45" w:rsidP="00481903">
            <w:pPr>
              <w:pStyle w:val="TableText"/>
              <w:spacing w:line="240" w:lineRule="auto"/>
              <w:jc w:val="right"/>
              <w:cnfStyle w:val="000000000000" w:firstRow="0" w:lastRow="0" w:firstColumn="0" w:lastColumn="0" w:oddVBand="0" w:evenVBand="0" w:oddHBand="0" w:evenHBand="0" w:firstRowFirstColumn="0" w:firstRowLastColumn="0" w:lastRowFirstColumn="0" w:lastRowLastColumn="0"/>
              <w:rPr>
                <w:sz w:val="12"/>
                <w:szCs w:val="12"/>
              </w:rPr>
            </w:pPr>
          </w:p>
        </w:tc>
        <w:tc>
          <w:tcPr>
            <w:tcW w:w="567" w:type="dxa"/>
            <w:tcBorders>
              <w:right w:val="single" w:sz="4" w:space="0" w:color="auto"/>
            </w:tcBorders>
          </w:tcPr>
          <w:p w14:paraId="27E25821" w14:textId="77777777" w:rsidR="00F16A45" w:rsidRPr="000F1F50" w:rsidRDefault="00F16A45" w:rsidP="00481903">
            <w:pPr>
              <w:pStyle w:val="TableText"/>
              <w:spacing w:line="240" w:lineRule="auto"/>
              <w:jc w:val="right"/>
              <w:cnfStyle w:val="000000000000" w:firstRow="0" w:lastRow="0" w:firstColumn="0" w:lastColumn="0" w:oddVBand="0" w:evenVBand="0" w:oddHBand="0" w:evenHBand="0" w:firstRowFirstColumn="0" w:firstRowLastColumn="0" w:lastRowFirstColumn="0" w:lastRowLastColumn="0"/>
              <w:rPr>
                <w:sz w:val="12"/>
                <w:szCs w:val="12"/>
              </w:rPr>
            </w:pPr>
          </w:p>
        </w:tc>
        <w:tc>
          <w:tcPr>
            <w:tcW w:w="662" w:type="dxa"/>
            <w:tcBorders>
              <w:left w:val="single" w:sz="4" w:space="0" w:color="auto"/>
            </w:tcBorders>
          </w:tcPr>
          <w:p w14:paraId="3AD2D35B" w14:textId="77777777" w:rsidR="00F16A45" w:rsidRPr="000F1F50" w:rsidRDefault="00F16A45" w:rsidP="00481903">
            <w:pPr>
              <w:pStyle w:val="TableText"/>
              <w:spacing w:line="240" w:lineRule="auto"/>
              <w:jc w:val="right"/>
              <w:cnfStyle w:val="000000000000" w:firstRow="0" w:lastRow="0" w:firstColumn="0" w:lastColumn="0" w:oddVBand="0" w:evenVBand="0" w:oddHBand="0" w:evenHBand="0" w:firstRowFirstColumn="0" w:firstRowLastColumn="0" w:lastRowFirstColumn="0" w:lastRowLastColumn="0"/>
              <w:rPr>
                <w:sz w:val="12"/>
                <w:szCs w:val="12"/>
              </w:rPr>
            </w:pPr>
          </w:p>
        </w:tc>
        <w:tc>
          <w:tcPr>
            <w:tcW w:w="425" w:type="dxa"/>
          </w:tcPr>
          <w:p w14:paraId="2BD72523" w14:textId="77777777" w:rsidR="00F16A45" w:rsidRPr="000F1F50" w:rsidRDefault="00F16A45" w:rsidP="00481903">
            <w:pPr>
              <w:pStyle w:val="TableText"/>
              <w:spacing w:line="240" w:lineRule="auto"/>
              <w:jc w:val="right"/>
              <w:cnfStyle w:val="000000000000" w:firstRow="0" w:lastRow="0" w:firstColumn="0" w:lastColumn="0" w:oddVBand="0" w:evenVBand="0" w:oddHBand="0" w:evenHBand="0" w:firstRowFirstColumn="0" w:firstRowLastColumn="0" w:lastRowFirstColumn="0" w:lastRowLastColumn="0"/>
              <w:rPr>
                <w:sz w:val="12"/>
                <w:szCs w:val="12"/>
              </w:rPr>
            </w:pPr>
          </w:p>
        </w:tc>
        <w:tc>
          <w:tcPr>
            <w:tcW w:w="755" w:type="dxa"/>
          </w:tcPr>
          <w:p w14:paraId="685FAAF0" w14:textId="77777777" w:rsidR="00F16A45" w:rsidRPr="000F1F50" w:rsidRDefault="00F16A45" w:rsidP="00481903">
            <w:pPr>
              <w:pStyle w:val="TableText"/>
              <w:spacing w:line="240" w:lineRule="auto"/>
              <w:jc w:val="right"/>
              <w:cnfStyle w:val="000000000000" w:firstRow="0" w:lastRow="0" w:firstColumn="0" w:lastColumn="0" w:oddVBand="0" w:evenVBand="0" w:oddHBand="0" w:evenHBand="0" w:firstRowFirstColumn="0" w:firstRowLastColumn="0" w:lastRowFirstColumn="0" w:lastRowLastColumn="0"/>
              <w:rPr>
                <w:sz w:val="12"/>
                <w:szCs w:val="12"/>
              </w:rPr>
            </w:pPr>
          </w:p>
        </w:tc>
        <w:tc>
          <w:tcPr>
            <w:tcW w:w="425" w:type="dxa"/>
          </w:tcPr>
          <w:p w14:paraId="3F141836" w14:textId="77777777" w:rsidR="00F16A45" w:rsidRPr="000F1F50" w:rsidRDefault="00F16A45" w:rsidP="00481903">
            <w:pPr>
              <w:pStyle w:val="TableText"/>
              <w:spacing w:line="240" w:lineRule="auto"/>
              <w:jc w:val="right"/>
              <w:cnfStyle w:val="000000000000" w:firstRow="0" w:lastRow="0" w:firstColumn="0" w:lastColumn="0" w:oddVBand="0" w:evenVBand="0" w:oddHBand="0" w:evenHBand="0" w:firstRowFirstColumn="0" w:firstRowLastColumn="0" w:lastRowFirstColumn="0" w:lastRowLastColumn="0"/>
              <w:rPr>
                <w:sz w:val="12"/>
                <w:szCs w:val="12"/>
              </w:rPr>
            </w:pPr>
          </w:p>
        </w:tc>
        <w:tc>
          <w:tcPr>
            <w:tcW w:w="709" w:type="dxa"/>
          </w:tcPr>
          <w:p w14:paraId="143E0779" w14:textId="77777777" w:rsidR="00F16A45" w:rsidRPr="000F1F50" w:rsidRDefault="00F16A45" w:rsidP="00481903">
            <w:pPr>
              <w:pStyle w:val="TableText"/>
              <w:spacing w:line="240" w:lineRule="auto"/>
              <w:jc w:val="right"/>
              <w:cnfStyle w:val="000000000000" w:firstRow="0" w:lastRow="0" w:firstColumn="0" w:lastColumn="0" w:oddVBand="0" w:evenVBand="0" w:oddHBand="0" w:evenHBand="0" w:firstRowFirstColumn="0" w:firstRowLastColumn="0" w:lastRowFirstColumn="0" w:lastRowLastColumn="0"/>
              <w:rPr>
                <w:sz w:val="12"/>
                <w:szCs w:val="12"/>
              </w:rPr>
            </w:pPr>
          </w:p>
        </w:tc>
        <w:tc>
          <w:tcPr>
            <w:tcW w:w="567" w:type="dxa"/>
          </w:tcPr>
          <w:p w14:paraId="3049AF1B" w14:textId="77777777" w:rsidR="00F16A45" w:rsidRPr="000F1F50" w:rsidRDefault="00F16A45" w:rsidP="00481903">
            <w:pPr>
              <w:pStyle w:val="TableText"/>
              <w:spacing w:line="240" w:lineRule="auto"/>
              <w:jc w:val="right"/>
              <w:cnfStyle w:val="000000000000" w:firstRow="0" w:lastRow="0" w:firstColumn="0" w:lastColumn="0" w:oddVBand="0" w:evenVBand="0" w:oddHBand="0" w:evenHBand="0" w:firstRowFirstColumn="0" w:firstRowLastColumn="0" w:lastRowFirstColumn="0" w:lastRowLastColumn="0"/>
              <w:rPr>
                <w:sz w:val="12"/>
                <w:szCs w:val="12"/>
              </w:rPr>
            </w:pPr>
          </w:p>
        </w:tc>
        <w:tc>
          <w:tcPr>
            <w:tcW w:w="709" w:type="dxa"/>
          </w:tcPr>
          <w:p w14:paraId="467330C4" w14:textId="1BDE0A9B" w:rsidR="00F16A45" w:rsidRPr="000F1F50" w:rsidRDefault="00F16A45" w:rsidP="00481903">
            <w:pPr>
              <w:pStyle w:val="TableText"/>
              <w:spacing w:line="240" w:lineRule="auto"/>
              <w:jc w:val="right"/>
              <w:cnfStyle w:val="000000000000" w:firstRow="0" w:lastRow="0" w:firstColumn="0" w:lastColumn="0" w:oddVBand="0" w:evenVBand="0" w:oddHBand="0" w:evenHBand="0" w:firstRowFirstColumn="0" w:firstRowLastColumn="0" w:lastRowFirstColumn="0" w:lastRowLastColumn="0"/>
              <w:rPr>
                <w:sz w:val="12"/>
                <w:szCs w:val="12"/>
              </w:rPr>
            </w:pPr>
          </w:p>
        </w:tc>
        <w:tc>
          <w:tcPr>
            <w:tcW w:w="548" w:type="dxa"/>
            <w:tcBorders>
              <w:right w:val="single" w:sz="4" w:space="0" w:color="auto"/>
            </w:tcBorders>
          </w:tcPr>
          <w:p w14:paraId="4C22BACD" w14:textId="77777777" w:rsidR="00F16A45" w:rsidRPr="000F1F50" w:rsidRDefault="00F16A45" w:rsidP="00481903">
            <w:pPr>
              <w:pStyle w:val="TableText"/>
              <w:spacing w:line="240" w:lineRule="auto"/>
              <w:jc w:val="right"/>
              <w:cnfStyle w:val="000000000000" w:firstRow="0" w:lastRow="0" w:firstColumn="0" w:lastColumn="0" w:oddVBand="0" w:evenVBand="0" w:oddHBand="0" w:evenHBand="0" w:firstRowFirstColumn="0" w:firstRowLastColumn="0" w:lastRowFirstColumn="0" w:lastRowLastColumn="0"/>
              <w:rPr>
                <w:sz w:val="12"/>
                <w:szCs w:val="12"/>
              </w:rPr>
            </w:pPr>
          </w:p>
        </w:tc>
        <w:tc>
          <w:tcPr>
            <w:tcW w:w="823" w:type="dxa"/>
            <w:tcBorders>
              <w:left w:val="single" w:sz="4" w:space="0" w:color="auto"/>
            </w:tcBorders>
          </w:tcPr>
          <w:p w14:paraId="00A33F61" w14:textId="77777777" w:rsidR="00F16A45" w:rsidRPr="000F1F50" w:rsidRDefault="00F16A45" w:rsidP="00481903">
            <w:pPr>
              <w:pStyle w:val="TableText"/>
              <w:spacing w:line="240" w:lineRule="auto"/>
              <w:jc w:val="right"/>
              <w:cnfStyle w:val="000000000000" w:firstRow="0" w:lastRow="0" w:firstColumn="0" w:lastColumn="0" w:oddVBand="0" w:evenVBand="0" w:oddHBand="0" w:evenHBand="0" w:firstRowFirstColumn="0" w:firstRowLastColumn="0" w:lastRowFirstColumn="0" w:lastRowLastColumn="0"/>
              <w:rPr>
                <w:sz w:val="12"/>
                <w:szCs w:val="12"/>
              </w:rPr>
            </w:pPr>
          </w:p>
        </w:tc>
        <w:tc>
          <w:tcPr>
            <w:tcW w:w="851" w:type="dxa"/>
          </w:tcPr>
          <w:p w14:paraId="4A7005F0" w14:textId="77777777" w:rsidR="00F16A45" w:rsidRPr="000F1F50" w:rsidRDefault="00F16A45" w:rsidP="00481903">
            <w:pPr>
              <w:pStyle w:val="TableText"/>
              <w:spacing w:line="240" w:lineRule="auto"/>
              <w:jc w:val="right"/>
              <w:cnfStyle w:val="000000000000" w:firstRow="0" w:lastRow="0" w:firstColumn="0" w:lastColumn="0" w:oddVBand="0" w:evenVBand="0" w:oddHBand="0" w:evenHBand="0" w:firstRowFirstColumn="0" w:firstRowLastColumn="0" w:lastRowFirstColumn="0" w:lastRowLastColumn="0"/>
              <w:rPr>
                <w:sz w:val="12"/>
                <w:szCs w:val="12"/>
              </w:rPr>
            </w:pPr>
          </w:p>
        </w:tc>
        <w:tc>
          <w:tcPr>
            <w:tcW w:w="1276" w:type="dxa"/>
          </w:tcPr>
          <w:p w14:paraId="0DBD7155" w14:textId="77777777" w:rsidR="00F16A45" w:rsidRPr="000F1F50" w:rsidRDefault="00F16A45" w:rsidP="00481903">
            <w:pPr>
              <w:pStyle w:val="TableText"/>
              <w:spacing w:line="240" w:lineRule="auto"/>
              <w:jc w:val="right"/>
              <w:cnfStyle w:val="000000000000" w:firstRow="0" w:lastRow="0" w:firstColumn="0" w:lastColumn="0" w:oddVBand="0" w:evenVBand="0" w:oddHBand="0" w:evenHBand="0" w:firstRowFirstColumn="0" w:firstRowLastColumn="0" w:lastRowFirstColumn="0" w:lastRowLastColumn="0"/>
              <w:rPr>
                <w:sz w:val="12"/>
                <w:szCs w:val="12"/>
              </w:rPr>
            </w:pPr>
          </w:p>
        </w:tc>
        <w:tc>
          <w:tcPr>
            <w:tcW w:w="1038" w:type="dxa"/>
          </w:tcPr>
          <w:p w14:paraId="4E8435B1" w14:textId="77777777" w:rsidR="00F16A45" w:rsidRPr="000F1F50" w:rsidRDefault="00F16A45" w:rsidP="00481903">
            <w:pPr>
              <w:pStyle w:val="TableText"/>
              <w:spacing w:line="240" w:lineRule="auto"/>
              <w:jc w:val="right"/>
              <w:cnfStyle w:val="000000000000" w:firstRow="0" w:lastRow="0" w:firstColumn="0" w:lastColumn="0" w:oddVBand="0" w:evenVBand="0" w:oddHBand="0" w:evenHBand="0" w:firstRowFirstColumn="0" w:firstRowLastColumn="0" w:lastRowFirstColumn="0" w:lastRowLastColumn="0"/>
              <w:rPr>
                <w:sz w:val="12"/>
                <w:szCs w:val="12"/>
              </w:rPr>
            </w:pPr>
          </w:p>
        </w:tc>
      </w:tr>
      <w:tr w:rsidR="0088420A" w:rsidRPr="000F1F50" w14:paraId="3FB5D64D" w14:textId="77777777" w:rsidTr="008842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 w:type="dxa"/>
          </w:tcPr>
          <w:p w14:paraId="6F9104D8" w14:textId="77777777" w:rsidR="00F16A45" w:rsidRPr="000F1F50" w:rsidRDefault="00F16A45" w:rsidP="00F16A45">
            <w:pPr>
              <w:pStyle w:val="TableText"/>
              <w:spacing w:line="240" w:lineRule="auto"/>
              <w:rPr>
                <w:sz w:val="12"/>
                <w:szCs w:val="12"/>
              </w:rPr>
            </w:pPr>
          </w:p>
        </w:tc>
        <w:tc>
          <w:tcPr>
            <w:tcW w:w="756" w:type="dxa"/>
            <w:tcBorders>
              <w:right w:val="single" w:sz="4" w:space="0" w:color="auto"/>
            </w:tcBorders>
          </w:tcPr>
          <w:p w14:paraId="2973B334" w14:textId="6148371D" w:rsidR="00F16A45" w:rsidRPr="000F1F50" w:rsidRDefault="00F16A45" w:rsidP="00F16A45">
            <w:pPr>
              <w:pStyle w:val="TableText"/>
              <w:spacing w:line="240" w:lineRule="auto"/>
              <w:cnfStyle w:val="000000100000" w:firstRow="0" w:lastRow="0" w:firstColumn="0" w:lastColumn="0" w:oddVBand="0" w:evenVBand="0" w:oddHBand="1" w:evenHBand="0" w:firstRowFirstColumn="0" w:firstRowLastColumn="0" w:lastRowFirstColumn="0" w:lastRowLastColumn="0"/>
              <w:rPr>
                <w:sz w:val="12"/>
                <w:szCs w:val="12"/>
              </w:rPr>
            </w:pPr>
            <w:r w:rsidRPr="000F1F50">
              <w:rPr>
                <w:sz w:val="12"/>
                <w:szCs w:val="12"/>
              </w:rPr>
              <w:t>4/2/</w:t>
            </w:r>
            <w:r w:rsidR="00DE4991" w:rsidRPr="000F1F50">
              <w:rPr>
                <w:sz w:val="12"/>
                <w:szCs w:val="12"/>
              </w:rPr>
              <w:t>20</w:t>
            </w:r>
            <w:r w:rsidR="00DE4991">
              <w:rPr>
                <w:sz w:val="12"/>
                <w:szCs w:val="12"/>
              </w:rPr>
              <w:t>22</w:t>
            </w:r>
          </w:p>
        </w:tc>
        <w:tc>
          <w:tcPr>
            <w:tcW w:w="755" w:type="dxa"/>
            <w:tcBorders>
              <w:left w:val="single" w:sz="4" w:space="0" w:color="auto"/>
            </w:tcBorders>
          </w:tcPr>
          <w:p w14:paraId="56AE988C" w14:textId="77777777" w:rsidR="00F16A45" w:rsidRPr="000F1F50" w:rsidRDefault="00F16A45" w:rsidP="00481903">
            <w:pPr>
              <w:pStyle w:val="TableText"/>
              <w:spacing w:line="240" w:lineRule="auto"/>
              <w:jc w:val="right"/>
              <w:cnfStyle w:val="000000100000" w:firstRow="0" w:lastRow="0" w:firstColumn="0" w:lastColumn="0" w:oddVBand="0" w:evenVBand="0" w:oddHBand="1" w:evenHBand="0" w:firstRowFirstColumn="0" w:firstRowLastColumn="0" w:lastRowFirstColumn="0" w:lastRowLastColumn="0"/>
              <w:rPr>
                <w:sz w:val="12"/>
                <w:szCs w:val="12"/>
              </w:rPr>
            </w:pPr>
          </w:p>
        </w:tc>
        <w:tc>
          <w:tcPr>
            <w:tcW w:w="425" w:type="dxa"/>
          </w:tcPr>
          <w:p w14:paraId="031F17B8" w14:textId="77777777" w:rsidR="00F16A45" w:rsidRPr="000F1F50" w:rsidRDefault="00F16A45" w:rsidP="00481903">
            <w:pPr>
              <w:pStyle w:val="TableText"/>
              <w:spacing w:line="240" w:lineRule="auto"/>
              <w:jc w:val="right"/>
              <w:cnfStyle w:val="000000100000" w:firstRow="0" w:lastRow="0" w:firstColumn="0" w:lastColumn="0" w:oddVBand="0" w:evenVBand="0" w:oddHBand="1" w:evenHBand="0" w:firstRowFirstColumn="0" w:firstRowLastColumn="0" w:lastRowFirstColumn="0" w:lastRowLastColumn="0"/>
              <w:rPr>
                <w:sz w:val="12"/>
                <w:szCs w:val="12"/>
              </w:rPr>
            </w:pPr>
          </w:p>
        </w:tc>
        <w:tc>
          <w:tcPr>
            <w:tcW w:w="709" w:type="dxa"/>
          </w:tcPr>
          <w:p w14:paraId="5ADD8DB0" w14:textId="77777777" w:rsidR="00F16A45" w:rsidRPr="000F1F50" w:rsidRDefault="00F16A45" w:rsidP="00481903">
            <w:pPr>
              <w:pStyle w:val="TableText"/>
              <w:spacing w:line="240" w:lineRule="auto"/>
              <w:jc w:val="right"/>
              <w:cnfStyle w:val="000000100000" w:firstRow="0" w:lastRow="0" w:firstColumn="0" w:lastColumn="0" w:oddVBand="0" w:evenVBand="0" w:oddHBand="1" w:evenHBand="0" w:firstRowFirstColumn="0" w:firstRowLastColumn="0" w:lastRowFirstColumn="0" w:lastRowLastColumn="0"/>
              <w:rPr>
                <w:sz w:val="12"/>
                <w:szCs w:val="12"/>
              </w:rPr>
            </w:pPr>
          </w:p>
        </w:tc>
        <w:tc>
          <w:tcPr>
            <w:tcW w:w="425" w:type="dxa"/>
          </w:tcPr>
          <w:p w14:paraId="00917A5A" w14:textId="77777777" w:rsidR="00F16A45" w:rsidRPr="000F1F50" w:rsidRDefault="00F16A45" w:rsidP="00481903">
            <w:pPr>
              <w:pStyle w:val="TableText"/>
              <w:spacing w:line="240" w:lineRule="auto"/>
              <w:jc w:val="right"/>
              <w:cnfStyle w:val="000000100000" w:firstRow="0" w:lastRow="0" w:firstColumn="0" w:lastColumn="0" w:oddVBand="0" w:evenVBand="0" w:oddHBand="1" w:evenHBand="0" w:firstRowFirstColumn="0" w:firstRowLastColumn="0" w:lastRowFirstColumn="0" w:lastRowLastColumn="0"/>
              <w:rPr>
                <w:sz w:val="12"/>
                <w:szCs w:val="12"/>
              </w:rPr>
            </w:pPr>
          </w:p>
        </w:tc>
        <w:tc>
          <w:tcPr>
            <w:tcW w:w="709" w:type="dxa"/>
          </w:tcPr>
          <w:p w14:paraId="680F77E7" w14:textId="77777777" w:rsidR="00F16A45" w:rsidRPr="000F1F50" w:rsidRDefault="00F16A45" w:rsidP="00481903">
            <w:pPr>
              <w:pStyle w:val="TableText"/>
              <w:spacing w:line="240" w:lineRule="auto"/>
              <w:jc w:val="right"/>
              <w:cnfStyle w:val="000000100000" w:firstRow="0" w:lastRow="0" w:firstColumn="0" w:lastColumn="0" w:oddVBand="0" w:evenVBand="0" w:oddHBand="1" w:evenHBand="0" w:firstRowFirstColumn="0" w:firstRowLastColumn="0" w:lastRowFirstColumn="0" w:lastRowLastColumn="0"/>
              <w:rPr>
                <w:sz w:val="12"/>
                <w:szCs w:val="12"/>
              </w:rPr>
            </w:pPr>
          </w:p>
        </w:tc>
        <w:tc>
          <w:tcPr>
            <w:tcW w:w="567" w:type="dxa"/>
          </w:tcPr>
          <w:p w14:paraId="3477D560" w14:textId="77777777" w:rsidR="00F16A45" w:rsidRPr="000F1F50" w:rsidRDefault="00F16A45" w:rsidP="00481903">
            <w:pPr>
              <w:pStyle w:val="TableText"/>
              <w:spacing w:line="240" w:lineRule="auto"/>
              <w:jc w:val="right"/>
              <w:cnfStyle w:val="000000100000" w:firstRow="0" w:lastRow="0" w:firstColumn="0" w:lastColumn="0" w:oddVBand="0" w:evenVBand="0" w:oddHBand="1" w:evenHBand="0" w:firstRowFirstColumn="0" w:firstRowLastColumn="0" w:lastRowFirstColumn="0" w:lastRowLastColumn="0"/>
              <w:rPr>
                <w:sz w:val="12"/>
                <w:szCs w:val="12"/>
              </w:rPr>
            </w:pPr>
          </w:p>
        </w:tc>
        <w:tc>
          <w:tcPr>
            <w:tcW w:w="709" w:type="dxa"/>
          </w:tcPr>
          <w:p w14:paraId="74419DDC" w14:textId="77777777" w:rsidR="00F16A45" w:rsidRPr="000F1F50" w:rsidRDefault="00F16A45" w:rsidP="00481903">
            <w:pPr>
              <w:pStyle w:val="TableText"/>
              <w:spacing w:line="240" w:lineRule="auto"/>
              <w:jc w:val="right"/>
              <w:cnfStyle w:val="000000100000" w:firstRow="0" w:lastRow="0" w:firstColumn="0" w:lastColumn="0" w:oddVBand="0" w:evenVBand="0" w:oddHBand="1" w:evenHBand="0" w:firstRowFirstColumn="0" w:firstRowLastColumn="0" w:lastRowFirstColumn="0" w:lastRowLastColumn="0"/>
              <w:rPr>
                <w:sz w:val="12"/>
                <w:szCs w:val="12"/>
              </w:rPr>
            </w:pPr>
          </w:p>
        </w:tc>
        <w:tc>
          <w:tcPr>
            <w:tcW w:w="567" w:type="dxa"/>
            <w:tcBorders>
              <w:right w:val="single" w:sz="4" w:space="0" w:color="auto"/>
            </w:tcBorders>
          </w:tcPr>
          <w:p w14:paraId="145206E6" w14:textId="77777777" w:rsidR="00F16A45" w:rsidRPr="000F1F50" w:rsidRDefault="00F16A45" w:rsidP="00481903">
            <w:pPr>
              <w:pStyle w:val="TableText"/>
              <w:spacing w:line="240" w:lineRule="auto"/>
              <w:jc w:val="right"/>
              <w:cnfStyle w:val="000000100000" w:firstRow="0" w:lastRow="0" w:firstColumn="0" w:lastColumn="0" w:oddVBand="0" w:evenVBand="0" w:oddHBand="1" w:evenHBand="0" w:firstRowFirstColumn="0" w:firstRowLastColumn="0" w:lastRowFirstColumn="0" w:lastRowLastColumn="0"/>
              <w:rPr>
                <w:sz w:val="12"/>
                <w:szCs w:val="12"/>
              </w:rPr>
            </w:pPr>
          </w:p>
        </w:tc>
        <w:tc>
          <w:tcPr>
            <w:tcW w:w="662" w:type="dxa"/>
            <w:tcBorders>
              <w:left w:val="single" w:sz="4" w:space="0" w:color="auto"/>
            </w:tcBorders>
          </w:tcPr>
          <w:p w14:paraId="29DF5057" w14:textId="77777777" w:rsidR="00F16A45" w:rsidRPr="000F1F50" w:rsidRDefault="00F16A45" w:rsidP="00481903">
            <w:pPr>
              <w:pStyle w:val="TableText"/>
              <w:spacing w:line="240" w:lineRule="auto"/>
              <w:jc w:val="right"/>
              <w:cnfStyle w:val="000000100000" w:firstRow="0" w:lastRow="0" w:firstColumn="0" w:lastColumn="0" w:oddVBand="0" w:evenVBand="0" w:oddHBand="1" w:evenHBand="0" w:firstRowFirstColumn="0" w:firstRowLastColumn="0" w:lastRowFirstColumn="0" w:lastRowLastColumn="0"/>
              <w:rPr>
                <w:sz w:val="12"/>
                <w:szCs w:val="12"/>
              </w:rPr>
            </w:pPr>
          </w:p>
        </w:tc>
        <w:tc>
          <w:tcPr>
            <w:tcW w:w="425" w:type="dxa"/>
          </w:tcPr>
          <w:p w14:paraId="7719E894" w14:textId="77777777" w:rsidR="00F16A45" w:rsidRPr="000F1F50" w:rsidRDefault="00F16A45" w:rsidP="00481903">
            <w:pPr>
              <w:pStyle w:val="TableText"/>
              <w:spacing w:line="240" w:lineRule="auto"/>
              <w:jc w:val="right"/>
              <w:cnfStyle w:val="000000100000" w:firstRow="0" w:lastRow="0" w:firstColumn="0" w:lastColumn="0" w:oddVBand="0" w:evenVBand="0" w:oddHBand="1" w:evenHBand="0" w:firstRowFirstColumn="0" w:firstRowLastColumn="0" w:lastRowFirstColumn="0" w:lastRowLastColumn="0"/>
              <w:rPr>
                <w:sz w:val="12"/>
                <w:szCs w:val="12"/>
              </w:rPr>
            </w:pPr>
          </w:p>
        </w:tc>
        <w:tc>
          <w:tcPr>
            <w:tcW w:w="755" w:type="dxa"/>
          </w:tcPr>
          <w:p w14:paraId="37FC60D7" w14:textId="77777777" w:rsidR="00F16A45" w:rsidRPr="000F1F50" w:rsidRDefault="00F16A45" w:rsidP="00481903">
            <w:pPr>
              <w:pStyle w:val="TableText"/>
              <w:spacing w:line="240" w:lineRule="auto"/>
              <w:jc w:val="right"/>
              <w:cnfStyle w:val="000000100000" w:firstRow="0" w:lastRow="0" w:firstColumn="0" w:lastColumn="0" w:oddVBand="0" w:evenVBand="0" w:oddHBand="1" w:evenHBand="0" w:firstRowFirstColumn="0" w:firstRowLastColumn="0" w:lastRowFirstColumn="0" w:lastRowLastColumn="0"/>
              <w:rPr>
                <w:sz w:val="12"/>
                <w:szCs w:val="12"/>
              </w:rPr>
            </w:pPr>
          </w:p>
        </w:tc>
        <w:tc>
          <w:tcPr>
            <w:tcW w:w="425" w:type="dxa"/>
          </w:tcPr>
          <w:p w14:paraId="681BE14F" w14:textId="77777777" w:rsidR="00F16A45" w:rsidRPr="000F1F50" w:rsidRDefault="00F16A45" w:rsidP="00481903">
            <w:pPr>
              <w:pStyle w:val="TableText"/>
              <w:spacing w:line="240" w:lineRule="auto"/>
              <w:jc w:val="right"/>
              <w:cnfStyle w:val="000000100000" w:firstRow="0" w:lastRow="0" w:firstColumn="0" w:lastColumn="0" w:oddVBand="0" w:evenVBand="0" w:oddHBand="1" w:evenHBand="0" w:firstRowFirstColumn="0" w:firstRowLastColumn="0" w:lastRowFirstColumn="0" w:lastRowLastColumn="0"/>
              <w:rPr>
                <w:sz w:val="12"/>
                <w:szCs w:val="12"/>
              </w:rPr>
            </w:pPr>
          </w:p>
        </w:tc>
        <w:tc>
          <w:tcPr>
            <w:tcW w:w="709" w:type="dxa"/>
          </w:tcPr>
          <w:p w14:paraId="109F7F4D" w14:textId="77777777" w:rsidR="00F16A45" w:rsidRPr="000F1F50" w:rsidRDefault="00F16A45" w:rsidP="00481903">
            <w:pPr>
              <w:pStyle w:val="TableText"/>
              <w:spacing w:line="240" w:lineRule="auto"/>
              <w:jc w:val="right"/>
              <w:cnfStyle w:val="000000100000" w:firstRow="0" w:lastRow="0" w:firstColumn="0" w:lastColumn="0" w:oddVBand="0" w:evenVBand="0" w:oddHBand="1" w:evenHBand="0" w:firstRowFirstColumn="0" w:firstRowLastColumn="0" w:lastRowFirstColumn="0" w:lastRowLastColumn="0"/>
              <w:rPr>
                <w:sz w:val="12"/>
                <w:szCs w:val="12"/>
              </w:rPr>
            </w:pPr>
          </w:p>
        </w:tc>
        <w:tc>
          <w:tcPr>
            <w:tcW w:w="567" w:type="dxa"/>
          </w:tcPr>
          <w:p w14:paraId="51E35A27" w14:textId="77777777" w:rsidR="00F16A45" w:rsidRPr="000F1F50" w:rsidRDefault="00F16A45" w:rsidP="00481903">
            <w:pPr>
              <w:pStyle w:val="TableText"/>
              <w:spacing w:line="240" w:lineRule="auto"/>
              <w:jc w:val="right"/>
              <w:cnfStyle w:val="000000100000" w:firstRow="0" w:lastRow="0" w:firstColumn="0" w:lastColumn="0" w:oddVBand="0" w:evenVBand="0" w:oddHBand="1" w:evenHBand="0" w:firstRowFirstColumn="0" w:firstRowLastColumn="0" w:lastRowFirstColumn="0" w:lastRowLastColumn="0"/>
              <w:rPr>
                <w:sz w:val="12"/>
                <w:szCs w:val="12"/>
              </w:rPr>
            </w:pPr>
          </w:p>
        </w:tc>
        <w:tc>
          <w:tcPr>
            <w:tcW w:w="709" w:type="dxa"/>
          </w:tcPr>
          <w:p w14:paraId="1A067851" w14:textId="77777777" w:rsidR="00F16A45" w:rsidRPr="000F1F50" w:rsidRDefault="00F16A45" w:rsidP="00481903">
            <w:pPr>
              <w:pStyle w:val="TableText"/>
              <w:spacing w:line="240" w:lineRule="auto"/>
              <w:jc w:val="right"/>
              <w:cnfStyle w:val="000000100000" w:firstRow="0" w:lastRow="0" w:firstColumn="0" w:lastColumn="0" w:oddVBand="0" w:evenVBand="0" w:oddHBand="1" w:evenHBand="0" w:firstRowFirstColumn="0" w:firstRowLastColumn="0" w:lastRowFirstColumn="0" w:lastRowLastColumn="0"/>
              <w:rPr>
                <w:sz w:val="12"/>
                <w:szCs w:val="12"/>
              </w:rPr>
            </w:pPr>
          </w:p>
        </w:tc>
        <w:tc>
          <w:tcPr>
            <w:tcW w:w="548" w:type="dxa"/>
            <w:tcBorders>
              <w:right w:val="single" w:sz="4" w:space="0" w:color="auto"/>
            </w:tcBorders>
          </w:tcPr>
          <w:p w14:paraId="05426F5B" w14:textId="77777777" w:rsidR="00F16A45" w:rsidRPr="000F1F50" w:rsidRDefault="00F16A45" w:rsidP="00481903">
            <w:pPr>
              <w:pStyle w:val="TableText"/>
              <w:spacing w:line="240" w:lineRule="auto"/>
              <w:jc w:val="right"/>
              <w:cnfStyle w:val="000000100000" w:firstRow="0" w:lastRow="0" w:firstColumn="0" w:lastColumn="0" w:oddVBand="0" w:evenVBand="0" w:oddHBand="1" w:evenHBand="0" w:firstRowFirstColumn="0" w:firstRowLastColumn="0" w:lastRowFirstColumn="0" w:lastRowLastColumn="0"/>
              <w:rPr>
                <w:sz w:val="12"/>
                <w:szCs w:val="12"/>
              </w:rPr>
            </w:pPr>
          </w:p>
        </w:tc>
        <w:tc>
          <w:tcPr>
            <w:tcW w:w="823" w:type="dxa"/>
            <w:tcBorders>
              <w:left w:val="single" w:sz="4" w:space="0" w:color="auto"/>
            </w:tcBorders>
          </w:tcPr>
          <w:p w14:paraId="60B6A4D0" w14:textId="77777777" w:rsidR="00F16A45" w:rsidRPr="000F1F50" w:rsidRDefault="00F16A45" w:rsidP="00481903">
            <w:pPr>
              <w:pStyle w:val="TableText"/>
              <w:spacing w:line="240" w:lineRule="auto"/>
              <w:jc w:val="right"/>
              <w:cnfStyle w:val="000000100000" w:firstRow="0" w:lastRow="0" w:firstColumn="0" w:lastColumn="0" w:oddVBand="0" w:evenVBand="0" w:oddHBand="1" w:evenHBand="0" w:firstRowFirstColumn="0" w:firstRowLastColumn="0" w:lastRowFirstColumn="0" w:lastRowLastColumn="0"/>
              <w:rPr>
                <w:sz w:val="12"/>
                <w:szCs w:val="12"/>
              </w:rPr>
            </w:pPr>
          </w:p>
        </w:tc>
        <w:tc>
          <w:tcPr>
            <w:tcW w:w="851" w:type="dxa"/>
          </w:tcPr>
          <w:p w14:paraId="59DDA696" w14:textId="77777777" w:rsidR="00F16A45" w:rsidRPr="000F1F50" w:rsidRDefault="00F16A45" w:rsidP="00481903">
            <w:pPr>
              <w:pStyle w:val="TableText"/>
              <w:spacing w:line="240" w:lineRule="auto"/>
              <w:jc w:val="right"/>
              <w:cnfStyle w:val="000000100000" w:firstRow="0" w:lastRow="0" w:firstColumn="0" w:lastColumn="0" w:oddVBand="0" w:evenVBand="0" w:oddHBand="1" w:evenHBand="0" w:firstRowFirstColumn="0" w:firstRowLastColumn="0" w:lastRowFirstColumn="0" w:lastRowLastColumn="0"/>
              <w:rPr>
                <w:sz w:val="12"/>
                <w:szCs w:val="12"/>
              </w:rPr>
            </w:pPr>
          </w:p>
        </w:tc>
        <w:tc>
          <w:tcPr>
            <w:tcW w:w="1276" w:type="dxa"/>
          </w:tcPr>
          <w:p w14:paraId="274CBF55" w14:textId="77777777" w:rsidR="00F16A45" w:rsidRPr="000F1F50" w:rsidRDefault="00F16A45" w:rsidP="00481903">
            <w:pPr>
              <w:pStyle w:val="TableText"/>
              <w:spacing w:line="240" w:lineRule="auto"/>
              <w:jc w:val="right"/>
              <w:cnfStyle w:val="000000100000" w:firstRow="0" w:lastRow="0" w:firstColumn="0" w:lastColumn="0" w:oddVBand="0" w:evenVBand="0" w:oddHBand="1" w:evenHBand="0" w:firstRowFirstColumn="0" w:firstRowLastColumn="0" w:lastRowFirstColumn="0" w:lastRowLastColumn="0"/>
              <w:rPr>
                <w:sz w:val="12"/>
                <w:szCs w:val="12"/>
              </w:rPr>
            </w:pPr>
          </w:p>
        </w:tc>
        <w:tc>
          <w:tcPr>
            <w:tcW w:w="1038" w:type="dxa"/>
          </w:tcPr>
          <w:p w14:paraId="4654D680" w14:textId="77777777" w:rsidR="00F16A45" w:rsidRPr="000F1F50" w:rsidRDefault="00F16A45" w:rsidP="00481903">
            <w:pPr>
              <w:pStyle w:val="TableText"/>
              <w:spacing w:line="240" w:lineRule="auto"/>
              <w:jc w:val="right"/>
              <w:cnfStyle w:val="000000100000" w:firstRow="0" w:lastRow="0" w:firstColumn="0" w:lastColumn="0" w:oddVBand="0" w:evenVBand="0" w:oddHBand="1" w:evenHBand="0" w:firstRowFirstColumn="0" w:firstRowLastColumn="0" w:lastRowFirstColumn="0" w:lastRowLastColumn="0"/>
              <w:rPr>
                <w:sz w:val="12"/>
                <w:szCs w:val="12"/>
              </w:rPr>
            </w:pPr>
          </w:p>
        </w:tc>
      </w:tr>
      <w:tr w:rsidR="0088420A" w:rsidRPr="000F1F50" w14:paraId="11A6B614" w14:textId="77777777" w:rsidTr="0088420A">
        <w:tc>
          <w:tcPr>
            <w:cnfStyle w:val="001000000000" w:firstRow="0" w:lastRow="0" w:firstColumn="1" w:lastColumn="0" w:oddVBand="0" w:evenVBand="0" w:oddHBand="0" w:evenHBand="0" w:firstRowFirstColumn="0" w:firstRowLastColumn="0" w:lastRowFirstColumn="0" w:lastRowLastColumn="0"/>
            <w:tcW w:w="237" w:type="dxa"/>
          </w:tcPr>
          <w:p w14:paraId="0E9AA900" w14:textId="77777777" w:rsidR="00F16A45" w:rsidRPr="000F1F50" w:rsidRDefault="00F16A45" w:rsidP="00F16A45">
            <w:pPr>
              <w:pStyle w:val="TableText"/>
              <w:spacing w:line="240" w:lineRule="auto"/>
              <w:rPr>
                <w:sz w:val="12"/>
                <w:szCs w:val="12"/>
              </w:rPr>
            </w:pPr>
          </w:p>
        </w:tc>
        <w:tc>
          <w:tcPr>
            <w:tcW w:w="756" w:type="dxa"/>
            <w:tcBorders>
              <w:right w:val="single" w:sz="4" w:space="0" w:color="auto"/>
            </w:tcBorders>
          </w:tcPr>
          <w:p w14:paraId="5E521507" w14:textId="4E7E323E" w:rsidR="00F16A45" w:rsidRPr="000F1F50" w:rsidRDefault="00F16A45" w:rsidP="00F16A45">
            <w:pPr>
              <w:pStyle w:val="TableText"/>
              <w:spacing w:line="240" w:lineRule="auto"/>
              <w:cnfStyle w:val="000000000000" w:firstRow="0" w:lastRow="0" w:firstColumn="0" w:lastColumn="0" w:oddVBand="0" w:evenVBand="0" w:oddHBand="0" w:evenHBand="0" w:firstRowFirstColumn="0" w:firstRowLastColumn="0" w:lastRowFirstColumn="0" w:lastRowLastColumn="0"/>
              <w:rPr>
                <w:sz w:val="12"/>
                <w:szCs w:val="12"/>
              </w:rPr>
            </w:pPr>
            <w:r w:rsidRPr="000F1F50">
              <w:rPr>
                <w:sz w:val="12"/>
                <w:szCs w:val="12"/>
              </w:rPr>
              <w:t>5/2/</w:t>
            </w:r>
            <w:r w:rsidR="00DE4991" w:rsidRPr="000F1F50">
              <w:rPr>
                <w:sz w:val="12"/>
                <w:szCs w:val="12"/>
              </w:rPr>
              <w:t>20</w:t>
            </w:r>
            <w:r w:rsidR="00DE4991">
              <w:rPr>
                <w:sz w:val="12"/>
                <w:szCs w:val="12"/>
              </w:rPr>
              <w:t>22</w:t>
            </w:r>
          </w:p>
        </w:tc>
        <w:tc>
          <w:tcPr>
            <w:tcW w:w="755" w:type="dxa"/>
            <w:tcBorders>
              <w:left w:val="single" w:sz="4" w:space="0" w:color="auto"/>
            </w:tcBorders>
          </w:tcPr>
          <w:p w14:paraId="0DFD97F2" w14:textId="77777777" w:rsidR="00F16A45" w:rsidRPr="000F1F50" w:rsidRDefault="00F16A45" w:rsidP="00481903">
            <w:pPr>
              <w:pStyle w:val="TableText"/>
              <w:spacing w:line="240" w:lineRule="auto"/>
              <w:jc w:val="right"/>
              <w:cnfStyle w:val="000000000000" w:firstRow="0" w:lastRow="0" w:firstColumn="0" w:lastColumn="0" w:oddVBand="0" w:evenVBand="0" w:oddHBand="0" w:evenHBand="0" w:firstRowFirstColumn="0" w:firstRowLastColumn="0" w:lastRowFirstColumn="0" w:lastRowLastColumn="0"/>
              <w:rPr>
                <w:sz w:val="12"/>
                <w:szCs w:val="12"/>
              </w:rPr>
            </w:pPr>
          </w:p>
        </w:tc>
        <w:tc>
          <w:tcPr>
            <w:tcW w:w="425" w:type="dxa"/>
          </w:tcPr>
          <w:p w14:paraId="54BACFB1" w14:textId="77777777" w:rsidR="00F16A45" w:rsidRPr="000F1F50" w:rsidRDefault="00F16A45" w:rsidP="00481903">
            <w:pPr>
              <w:pStyle w:val="TableText"/>
              <w:spacing w:line="240" w:lineRule="auto"/>
              <w:jc w:val="right"/>
              <w:cnfStyle w:val="000000000000" w:firstRow="0" w:lastRow="0" w:firstColumn="0" w:lastColumn="0" w:oddVBand="0" w:evenVBand="0" w:oddHBand="0" w:evenHBand="0" w:firstRowFirstColumn="0" w:firstRowLastColumn="0" w:lastRowFirstColumn="0" w:lastRowLastColumn="0"/>
              <w:rPr>
                <w:sz w:val="12"/>
                <w:szCs w:val="12"/>
              </w:rPr>
            </w:pPr>
          </w:p>
        </w:tc>
        <w:tc>
          <w:tcPr>
            <w:tcW w:w="709" w:type="dxa"/>
          </w:tcPr>
          <w:p w14:paraId="1DBE9CA8" w14:textId="77777777" w:rsidR="00F16A45" w:rsidRPr="000F1F50" w:rsidRDefault="00F16A45" w:rsidP="00481903">
            <w:pPr>
              <w:pStyle w:val="TableText"/>
              <w:spacing w:line="240" w:lineRule="auto"/>
              <w:jc w:val="right"/>
              <w:cnfStyle w:val="000000000000" w:firstRow="0" w:lastRow="0" w:firstColumn="0" w:lastColumn="0" w:oddVBand="0" w:evenVBand="0" w:oddHBand="0" w:evenHBand="0" w:firstRowFirstColumn="0" w:firstRowLastColumn="0" w:lastRowFirstColumn="0" w:lastRowLastColumn="0"/>
              <w:rPr>
                <w:sz w:val="12"/>
                <w:szCs w:val="12"/>
              </w:rPr>
            </w:pPr>
          </w:p>
        </w:tc>
        <w:tc>
          <w:tcPr>
            <w:tcW w:w="425" w:type="dxa"/>
          </w:tcPr>
          <w:p w14:paraId="348CAD54" w14:textId="77777777" w:rsidR="00F16A45" w:rsidRPr="000F1F50" w:rsidRDefault="00F16A45" w:rsidP="00481903">
            <w:pPr>
              <w:pStyle w:val="TableText"/>
              <w:spacing w:line="240" w:lineRule="auto"/>
              <w:jc w:val="right"/>
              <w:cnfStyle w:val="000000000000" w:firstRow="0" w:lastRow="0" w:firstColumn="0" w:lastColumn="0" w:oddVBand="0" w:evenVBand="0" w:oddHBand="0" w:evenHBand="0" w:firstRowFirstColumn="0" w:firstRowLastColumn="0" w:lastRowFirstColumn="0" w:lastRowLastColumn="0"/>
              <w:rPr>
                <w:sz w:val="12"/>
                <w:szCs w:val="12"/>
              </w:rPr>
            </w:pPr>
          </w:p>
        </w:tc>
        <w:tc>
          <w:tcPr>
            <w:tcW w:w="709" w:type="dxa"/>
          </w:tcPr>
          <w:p w14:paraId="13E23042" w14:textId="77777777" w:rsidR="00F16A45" w:rsidRPr="000F1F50" w:rsidRDefault="00F16A45" w:rsidP="00481903">
            <w:pPr>
              <w:pStyle w:val="TableText"/>
              <w:spacing w:line="240" w:lineRule="auto"/>
              <w:jc w:val="right"/>
              <w:cnfStyle w:val="000000000000" w:firstRow="0" w:lastRow="0" w:firstColumn="0" w:lastColumn="0" w:oddVBand="0" w:evenVBand="0" w:oddHBand="0" w:evenHBand="0" w:firstRowFirstColumn="0" w:firstRowLastColumn="0" w:lastRowFirstColumn="0" w:lastRowLastColumn="0"/>
              <w:rPr>
                <w:sz w:val="12"/>
                <w:szCs w:val="12"/>
              </w:rPr>
            </w:pPr>
          </w:p>
        </w:tc>
        <w:tc>
          <w:tcPr>
            <w:tcW w:w="567" w:type="dxa"/>
          </w:tcPr>
          <w:p w14:paraId="6762050D" w14:textId="77777777" w:rsidR="00F16A45" w:rsidRPr="000F1F50" w:rsidRDefault="00F16A45" w:rsidP="00481903">
            <w:pPr>
              <w:pStyle w:val="TableText"/>
              <w:spacing w:line="240" w:lineRule="auto"/>
              <w:jc w:val="right"/>
              <w:cnfStyle w:val="000000000000" w:firstRow="0" w:lastRow="0" w:firstColumn="0" w:lastColumn="0" w:oddVBand="0" w:evenVBand="0" w:oddHBand="0" w:evenHBand="0" w:firstRowFirstColumn="0" w:firstRowLastColumn="0" w:lastRowFirstColumn="0" w:lastRowLastColumn="0"/>
              <w:rPr>
                <w:sz w:val="12"/>
                <w:szCs w:val="12"/>
              </w:rPr>
            </w:pPr>
          </w:p>
        </w:tc>
        <w:tc>
          <w:tcPr>
            <w:tcW w:w="709" w:type="dxa"/>
          </w:tcPr>
          <w:p w14:paraId="3668C2F4" w14:textId="77777777" w:rsidR="00F16A45" w:rsidRPr="000F1F50" w:rsidRDefault="00F16A45" w:rsidP="00481903">
            <w:pPr>
              <w:pStyle w:val="TableText"/>
              <w:spacing w:line="240" w:lineRule="auto"/>
              <w:jc w:val="right"/>
              <w:cnfStyle w:val="000000000000" w:firstRow="0" w:lastRow="0" w:firstColumn="0" w:lastColumn="0" w:oddVBand="0" w:evenVBand="0" w:oddHBand="0" w:evenHBand="0" w:firstRowFirstColumn="0" w:firstRowLastColumn="0" w:lastRowFirstColumn="0" w:lastRowLastColumn="0"/>
              <w:rPr>
                <w:sz w:val="12"/>
                <w:szCs w:val="12"/>
              </w:rPr>
            </w:pPr>
          </w:p>
        </w:tc>
        <w:tc>
          <w:tcPr>
            <w:tcW w:w="567" w:type="dxa"/>
            <w:tcBorders>
              <w:right w:val="single" w:sz="4" w:space="0" w:color="auto"/>
            </w:tcBorders>
          </w:tcPr>
          <w:p w14:paraId="6C0BCE73" w14:textId="77777777" w:rsidR="00F16A45" w:rsidRPr="000F1F50" w:rsidRDefault="00F16A45" w:rsidP="00481903">
            <w:pPr>
              <w:pStyle w:val="TableText"/>
              <w:spacing w:line="240" w:lineRule="auto"/>
              <w:jc w:val="right"/>
              <w:cnfStyle w:val="000000000000" w:firstRow="0" w:lastRow="0" w:firstColumn="0" w:lastColumn="0" w:oddVBand="0" w:evenVBand="0" w:oddHBand="0" w:evenHBand="0" w:firstRowFirstColumn="0" w:firstRowLastColumn="0" w:lastRowFirstColumn="0" w:lastRowLastColumn="0"/>
              <w:rPr>
                <w:sz w:val="12"/>
                <w:szCs w:val="12"/>
              </w:rPr>
            </w:pPr>
          </w:p>
        </w:tc>
        <w:tc>
          <w:tcPr>
            <w:tcW w:w="662" w:type="dxa"/>
            <w:tcBorders>
              <w:left w:val="single" w:sz="4" w:space="0" w:color="auto"/>
            </w:tcBorders>
          </w:tcPr>
          <w:p w14:paraId="1BFBFA61" w14:textId="77777777" w:rsidR="00F16A45" w:rsidRPr="000F1F50" w:rsidRDefault="00F16A45" w:rsidP="00481903">
            <w:pPr>
              <w:pStyle w:val="TableText"/>
              <w:spacing w:line="240" w:lineRule="auto"/>
              <w:jc w:val="right"/>
              <w:cnfStyle w:val="000000000000" w:firstRow="0" w:lastRow="0" w:firstColumn="0" w:lastColumn="0" w:oddVBand="0" w:evenVBand="0" w:oddHBand="0" w:evenHBand="0" w:firstRowFirstColumn="0" w:firstRowLastColumn="0" w:lastRowFirstColumn="0" w:lastRowLastColumn="0"/>
              <w:rPr>
                <w:sz w:val="12"/>
                <w:szCs w:val="12"/>
              </w:rPr>
            </w:pPr>
          </w:p>
        </w:tc>
        <w:tc>
          <w:tcPr>
            <w:tcW w:w="425" w:type="dxa"/>
          </w:tcPr>
          <w:p w14:paraId="2CC12498" w14:textId="77777777" w:rsidR="00F16A45" w:rsidRPr="000F1F50" w:rsidRDefault="00F16A45" w:rsidP="00481903">
            <w:pPr>
              <w:pStyle w:val="TableText"/>
              <w:spacing w:line="240" w:lineRule="auto"/>
              <w:jc w:val="right"/>
              <w:cnfStyle w:val="000000000000" w:firstRow="0" w:lastRow="0" w:firstColumn="0" w:lastColumn="0" w:oddVBand="0" w:evenVBand="0" w:oddHBand="0" w:evenHBand="0" w:firstRowFirstColumn="0" w:firstRowLastColumn="0" w:lastRowFirstColumn="0" w:lastRowLastColumn="0"/>
              <w:rPr>
                <w:sz w:val="12"/>
                <w:szCs w:val="12"/>
              </w:rPr>
            </w:pPr>
          </w:p>
        </w:tc>
        <w:tc>
          <w:tcPr>
            <w:tcW w:w="755" w:type="dxa"/>
          </w:tcPr>
          <w:p w14:paraId="08A5AE65" w14:textId="77777777" w:rsidR="00F16A45" w:rsidRPr="000F1F50" w:rsidRDefault="00F16A45" w:rsidP="00481903">
            <w:pPr>
              <w:pStyle w:val="TableText"/>
              <w:spacing w:line="240" w:lineRule="auto"/>
              <w:jc w:val="right"/>
              <w:cnfStyle w:val="000000000000" w:firstRow="0" w:lastRow="0" w:firstColumn="0" w:lastColumn="0" w:oddVBand="0" w:evenVBand="0" w:oddHBand="0" w:evenHBand="0" w:firstRowFirstColumn="0" w:firstRowLastColumn="0" w:lastRowFirstColumn="0" w:lastRowLastColumn="0"/>
              <w:rPr>
                <w:sz w:val="12"/>
                <w:szCs w:val="12"/>
              </w:rPr>
            </w:pPr>
          </w:p>
        </w:tc>
        <w:tc>
          <w:tcPr>
            <w:tcW w:w="425" w:type="dxa"/>
          </w:tcPr>
          <w:p w14:paraId="571FFDA1" w14:textId="77777777" w:rsidR="00F16A45" w:rsidRPr="000F1F50" w:rsidRDefault="00F16A45" w:rsidP="00481903">
            <w:pPr>
              <w:pStyle w:val="TableText"/>
              <w:spacing w:line="240" w:lineRule="auto"/>
              <w:jc w:val="right"/>
              <w:cnfStyle w:val="000000000000" w:firstRow="0" w:lastRow="0" w:firstColumn="0" w:lastColumn="0" w:oddVBand="0" w:evenVBand="0" w:oddHBand="0" w:evenHBand="0" w:firstRowFirstColumn="0" w:firstRowLastColumn="0" w:lastRowFirstColumn="0" w:lastRowLastColumn="0"/>
              <w:rPr>
                <w:sz w:val="12"/>
                <w:szCs w:val="12"/>
              </w:rPr>
            </w:pPr>
          </w:p>
        </w:tc>
        <w:tc>
          <w:tcPr>
            <w:tcW w:w="709" w:type="dxa"/>
          </w:tcPr>
          <w:p w14:paraId="0151F863" w14:textId="77777777" w:rsidR="00F16A45" w:rsidRPr="000F1F50" w:rsidRDefault="00F16A45" w:rsidP="00481903">
            <w:pPr>
              <w:pStyle w:val="TableText"/>
              <w:spacing w:line="240" w:lineRule="auto"/>
              <w:jc w:val="right"/>
              <w:cnfStyle w:val="000000000000" w:firstRow="0" w:lastRow="0" w:firstColumn="0" w:lastColumn="0" w:oddVBand="0" w:evenVBand="0" w:oddHBand="0" w:evenHBand="0" w:firstRowFirstColumn="0" w:firstRowLastColumn="0" w:lastRowFirstColumn="0" w:lastRowLastColumn="0"/>
              <w:rPr>
                <w:sz w:val="12"/>
                <w:szCs w:val="12"/>
              </w:rPr>
            </w:pPr>
          </w:p>
        </w:tc>
        <w:tc>
          <w:tcPr>
            <w:tcW w:w="567" w:type="dxa"/>
          </w:tcPr>
          <w:p w14:paraId="40B29AD9" w14:textId="77777777" w:rsidR="00F16A45" w:rsidRPr="000F1F50" w:rsidRDefault="00F16A45" w:rsidP="00481903">
            <w:pPr>
              <w:pStyle w:val="TableText"/>
              <w:spacing w:line="240" w:lineRule="auto"/>
              <w:jc w:val="right"/>
              <w:cnfStyle w:val="000000000000" w:firstRow="0" w:lastRow="0" w:firstColumn="0" w:lastColumn="0" w:oddVBand="0" w:evenVBand="0" w:oddHBand="0" w:evenHBand="0" w:firstRowFirstColumn="0" w:firstRowLastColumn="0" w:lastRowFirstColumn="0" w:lastRowLastColumn="0"/>
              <w:rPr>
                <w:sz w:val="12"/>
                <w:szCs w:val="12"/>
              </w:rPr>
            </w:pPr>
          </w:p>
        </w:tc>
        <w:tc>
          <w:tcPr>
            <w:tcW w:w="709" w:type="dxa"/>
          </w:tcPr>
          <w:p w14:paraId="1EEB491B" w14:textId="77777777" w:rsidR="00F16A45" w:rsidRPr="000F1F50" w:rsidRDefault="00F16A45" w:rsidP="00481903">
            <w:pPr>
              <w:pStyle w:val="TableText"/>
              <w:spacing w:line="240" w:lineRule="auto"/>
              <w:jc w:val="right"/>
              <w:cnfStyle w:val="000000000000" w:firstRow="0" w:lastRow="0" w:firstColumn="0" w:lastColumn="0" w:oddVBand="0" w:evenVBand="0" w:oddHBand="0" w:evenHBand="0" w:firstRowFirstColumn="0" w:firstRowLastColumn="0" w:lastRowFirstColumn="0" w:lastRowLastColumn="0"/>
              <w:rPr>
                <w:sz w:val="12"/>
                <w:szCs w:val="12"/>
              </w:rPr>
            </w:pPr>
          </w:p>
        </w:tc>
        <w:tc>
          <w:tcPr>
            <w:tcW w:w="548" w:type="dxa"/>
            <w:tcBorders>
              <w:right w:val="single" w:sz="4" w:space="0" w:color="auto"/>
            </w:tcBorders>
          </w:tcPr>
          <w:p w14:paraId="436060AF" w14:textId="77777777" w:rsidR="00F16A45" w:rsidRPr="000F1F50" w:rsidRDefault="00F16A45" w:rsidP="00481903">
            <w:pPr>
              <w:pStyle w:val="TableText"/>
              <w:spacing w:line="240" w:lineRule="auto"/>
              <w:jc w:val="right"/>
              <w:cnfStyle w:val="000000000000" w:firstRow="0" w:lastRow="0" w:firstColumn="0" w:lastColumn="0" w:oddVBand="0" w:evenVBand="0" w:oddHBand="0" w:evenHBand="0" w:firstRowFirstColumn="0" w:firstRowLastColumn="0" w:lastRowFirstColumn="0" w:lastRowLastColumn="0"/>
              <w:rPr>
                <w:sz w:val="12"/>
                <w:szCs w:val="12"/>
              </w:rPr>
            </w:pPr>
          </w:p>
        </w:tc>
        <w:tc>
          <w:tcPr>
            <w:tcW w:w="823" w:type="dxa"/>
            <w:tcBorders>
              <w:left w:val="single" w:sz="4" w:space="0" w:color="auto"/>
            </w:tcBorders>
          </w:tcPr>
          <w:p w14:paraId="6369E52D" w14:textId="77777777" w:rsidR="00F16A45" w:rsidRPr="000F1F50" w:rsidRDefault="00F16A45" w:rsidP="00481903">
            <w:pPr>
              <w:pStyle w:val="TableText"/>
              <w:spacing w:line="240" w:lineRule="auto"/>
              <w:jc w:val="right"/>
              <w:cnfStyle w:val="000000000000" w:firstRow="0" w:lastRow="0" w:firstColumn="0" w:lastColumn="0" w:oddVBand="0" w:evenVBand="0" w:oddHBand="0" w:evenHBand="0" w:firstRowFirstColumn="0" w:firstRowLastColumn="0" w:lastRowFirstColumn="0" w:lastRowLastColumn="0"/>
              <w:rPr>
                <w:sz w:val="12"/>
                <w:szCs w:val="12"/>
              </w:rPr>
            </w:pPr>
          </w:p>
        </w:tc>
        <w:tc>
          <w:tcPr>
            <w:tcW w:w="851" w:type="dxa"/>
          </w:tcPr>
          <w:p w14:paraId="7089D3C0" w14:textId="77777777" w:rsidR="00F16A45" w:rsidRPr="000F1F50" w:rsidRDefault="00F16A45" w:rsidP="00481903">
            <w:pPr>
              <w:pStyle w:val="TableText"/>
              <w:spacing w:line="240" w:lineRule="auto"/>
              <w:jc w:val="right"/>
              <w:cnfStyle w:val="000000000000" w:firstRow="0" w:lastRow="0" w:firstColumn="0" w:lastColumn="0" w:oddVBand="0" w:evenVBand="0" w:oddHBand="0" w:evenHBand="0" w:firstRowFirstColumn="0" w:firstRowLastColumn="0" w:lastRowFirstColumn="0" w:lastRowLastColumn="0"/>
              <w:rPr>
                <w:sz w:val="12"/>
                <w:szCs w:val="12"/>
              </w:rPr>
            </w:pPr>
          </w:p>
        </w:tc>
        <w:tc>
          <w:tcPr>
            <w:tcW w:w="1276" w:type="dxa"/>
          </w:tcPr>
          <w:p w14:paraId="728D55DF" w14:textId="77777777" w:rsidR="00F16A45" w:rsidRPr="000F1F50" w:rsidRDefault="00F16A45" w:rsidP="00481903">
            <w:pPr>
              <w:pStyle w:val="TableText"/>
              <w:spacing w:line="240" w:lineRule="auto"/>
              <w:jc w:val="right"/>
              <w:cnfStyle w:val="000000000000" w:firstRow="0" w:lastRow="0" w:firstColumn="0" w:lastColumn="0" w:oddVBand="0" w:evenVBand="0" w:oddHBand="0" w:evenHBand="0" w:firstRowFirstColumn="0" w:firstRowLastColumn="0" w:lastRowFirstColumn="0" w:lastRowLastColumn="0"/>
              <w:rPr>
                <w:sz w:val="12"/>
                <w:szCs w:val="12"/>
              </w:rPr>
            </w:pPr>
          </w:p>
        </w:tc>
        <w:tc>
          <w:tcPr>
            <w:tcW w:w="1038" w:type="dxa"/>
          </w:tcPr>
          <w:p w14:paraId="33244639" w14:textId="77777777" w:rsidR="00F16A45" w:rsidRPr="000F1F50" w:rsidRDefault="00F16A45" w:rsidP="00481903">
            <w:pPr>
              <w:pStyle w:val="TableText"/>
              <w:spacing w:line="240" w:lineRule="auto"/>
              <w:jc w:val="right"/>
              <w:cnfStyle w:val="000000000000" w:firstRow="0" w:lastRow="0" w:firstColumn="0" w:lastColumn="0" w:oddVBand="0" w:evenVBand="0" w:oddHBand="0" w:evenHBand="0" w:firstRowFirstColumn="0" w:firstRowLastColumn="0" w:lastRowFirstColumn="0" w:lastRowLastColumn="0"/>
              <w:rPr>
                <w:sz w:val="12"/>
                <w:szCs w:val="12"/>
              </w:rPr>
            </w:pPr>
          </w:p>
        </w:tc>
      </w:tr>
      <w:tr w:rsidR="0088420A" w:rsidRPr="000F1F50" w14:paraId="688DA59E" w14:textId="77777777" w:rsidTr="008842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 w:type="dxa"/>
          </w:tcPr>
          <w:p w14:paraId="70700627" w14:textId="77777777" w:rsidR="00F16A45" w:rsidRPr="000F1F50" w:rsidRDefault="00F16A45" w:rsidP="00F16A45">
            <w:pPr>
              <w:pStyle w:val="TableText"/>
              <w:spacing w:line="240" w:lineRule="auto"/>
              <w:rPr>
                <w:sz w:val="12"/>
                <w:szCs w:val="12"/>
              </w:rPr>
            </w:pPr>
          </w:p>
        </w:tc>
        <w:tc>
          <w:tcPr>
            <w:tcW w:w="756" w:type="dxa"/>
            <w:tcBorders>
              <w:right w:val="single" w:sz="4" w:space="0" w:color="auto"/>
            </w:tcBorders>
          </w:tcPr>
          <w:p w14:paraId="14A8F66A" w14:textId="34E76714" w:rsidR="00F16A45" w:rsidRPr="000F1F50" w:rsidRDefault="00F16A45" w:rsidP="00F16A45">
            <w:pPr>
              <w:pStyle w:val="TableText"/>
              <w:spacing w:line="240" w:lineRule="auto"/>
              <w:cnfStyle w:val="000000100000" w:firstRow="0" w:lastRow="0" w:firstColumn="0" w:lastColumn="0" w:oddVBand="0" w:evenVBand="0" w:oddHBand="1" w:evenHBand="0" w:firstRowFirstColumn="0" w:firstRowLastColumn="0" w:lastRowFirstColumn="0" w:lastRowLastColumn="0"/>
              <w:rPr>
                <w:sz w:val="12"/>
                <w:szCs w:val="12"/>
              </w:rPr>
            </w:pPr>
            <w:r w:rsidRPr="000F1F50">
              <w:rPr>
                <w:sz w:val="12"/>
                <w:szCs w:val="12"/>
              </w:rPr>
              <w:t>6/2/</w:t>
            </w:r>
            <w:r w:rsidR="00DE4991" w:rsidRPr="000F1F50">
              <w:rPr>
                <w:sz w:val="12"/>
                <w:szCs w:val="12"/>
              </w:rPr>
              <w:t>20</w:t>
            </w:r>
            <w:r w:rsidR="00DE4991">
              <w:rPr>
                <w:sz w:val="12"/>
                <w:szCs w:val="12"/>
              </w:rPr>
              <w:t>22</w:t>
            </w:r>
          </w:p>
        </w:tc>
        <w:tc>
          <w:tcPr>
            <w:tcW w:w="755" w:type="dxa"/>
            <w:tcBorders>
              <w:left w:val="single" w:sz="4" w:space="0" w:color="auto"/>
            </w:tcBorders>
          </w:tcPr>
          <w:p w14:paraId="3101F7E2" w14:textId="77777777" w:rsidR="00F16A45" w:rsidRPr="000F1F50" w:rsidRDefault="00F16A45" w:rsidP="00481903">
            <w:pPr>
              <w:pStyle w:val="TableText"/>
              <w:spacing w:line="240" w:lineRule="auto"/>
              <w:jc w:val="right"/>
              <w:cnfStyle w:val="000000100000" w:firstRow="0" w:lastRow="0" w:firstColumn="0" w:lastColumn="0" w:oddVBand="0" w:evenVBand="0" w:oddHBand="1" w:evenHBand="0" w:firstRowFirstColumn="0" w:firstRowLastColumn="0" w:lastRowFirstColumn="0" w:lastRowLastColumn="0"/>
              <w:rPr>
                <w:sz w:val="12"/>
                <w:szCs w:val="12"/>
              </w:rPr>
            </w:pPr>
          </w:p>
        </w:tc>
        <w:tc>
          <w:tcPr>
            <w:tcW w:w="425" w:type="dxa"/>
          </w:tcPr>
          <w:p w14:paraId="338F557F" w14:textId="77777777" w:rsidR="00F16A45" w:rsidRPr="000F1F50" w:rsidRDefault="00F16A45" w:rsidP="00481903">
            <w:pPr>
              <w:pStyle w:val="TableText"/>
              <w:spacing w:line="240" w:lineRule="auto"/>
              <w:jc w:val="right"/>
              <w:cnfStyle w:val="000000100000" w:firstRow="0" w:lastRow="0" w:firstColumn="0" w:lastColumn="0" w:oddVBand="0" w:evenVBand="0" w:oddHBand="1" w:evenHBand="0" w:firstRowFirstColumn="0" w:firstRowLastColumn="0" w:lastRowFirstColumn="0" w:lastRowLastColumn="0"/>
              <w:rPr>
                <w:sz w:val="12"/>
                <w:szCs w:val="12"/>
              </w:rPr>
            </w:pPr>
          </w:p>
        </w:tc>
        <w:tc>
          <w:tcPr>
            <w:tcW w:w="709" w:type="dxa"/>
          </w:tcPr>
          <w:p w14:paraId="1CCFAC0D" w14:textId="77777777" w:rsidR="00F16A45" w:rsidRPr="000F1F50" w:rsidRDefault="00F16A45" w:rsidP="00481903">
            <w:pPr>
              <w:pStyle w:val="TableText"/>
              <w:spacing w:line="240" w:lineRule="auto"/>
              <w:jc w:val="right"/>
              <w:cnfStyle w:val="000000100000" w:firstRow="0" w:lastRow="0" w:firstColumn="0" w:lastColumn="0" w:oddVBand="0" w:evenVBand="0" w:oddHBand="1" w:evenHBand="0" w:firstRowFirstColumn="0" w:firstRowLastColumn="0" w:lastRowFirstColumn="0" w:lastRowLastColumn="0"/>
              <w:rPr>
                <w:sz w:val="12"/>
                <w:szCs w:val="12"/>
              </w:rPr>
            </w:pPr>
          </w:p>
        </w:tc>
        <w:tc>
          <w:tcPr>
            <w:tcW w:w="425" w:type="dxa"/>
          </w:tcPr>
          <w:p w14:paraId="66082A10" w14:textId="77777777" w:rsidR="00F16A45" w:rsidRPr="000F1F50" w:rsidRDefault="00F16A45" w:rsidP="00481903">
            <w:pPr>
              <w:pStyle w:val="TableText"/>
              <w:spacing w:line="240" w:lineRule="auto"/>
              <w:jc w:val="right"/>
              <w:cnfStyle w:val="000000100000" w:firstRow="0" w:lastRow="0" w:firstColumn="0" w:lastColumn="0" w:oddVBand="0" w:evenVBand="0" w:oddHBand="1" w:evenHBand="0" w:firstRowFirstColumn="0" w:firstRowLastColumn="0" w:lastRowFirstColumn="0" w:lastRowLastColumn="0"/>
              <w:rPr>
                <w:sz w:val="12"/>
                <w:szCs w:val="12"/>
              </w:rPr>
            </w:pPr>
          </w:p>
        </w:tc>
        <w:tc>
          <w:tcPr>
            <w:tcW w:w="709" w:type="dxa"/>
          </w:tcPr>
          <w:p w14:paraId="6242A29E" w14:textId="77777777" w:rsidR="00F16A45" w:rsidRPr="000F1F50" w:rsidRDefault="00F16A45" w:rsidP="00481903">
            <w:pPr>
              <w:pStyle w:val="TableText"/>
              <w:spacing w:line="240" w:lineRule="auto"/>
              <w:jc w:val="right"/>
              <w:cnfStyle w:val="000000100000" w:firstRow="0" w:lastRow="0" w:firstColumn="0" w:lastColumn="0" w:oddVBand="0" w:evenVBand="0" w:oddHBand="1" w:evenHBand="0" w:firstRowFirstColumn="0" w:firstRowLastColumn="0" w:lastRowFirstColumn="0" w:lastRowLastColumn="0"/>
              <w:rPr>
                <w:sz w:val="12"/>
                <w:szCs w:val="12"/>
              </w:rPr>
            </w:pPr>
          </w:p>
        </w:tc>
        <w:tc>
          <w:tcPr>
            <w:tcW w:w="567" w:type="dxa"/>
          </w:tcPr>
          <w:p w14:paraId="31657C70" w14:textId="77777777" w:rsidR="00F16A45" w:rsidRPr="000F1F50" w:rsidRDefault="00F16A45" w:rsidP="00481903">
            <w:pPr>
              <w:pStyle w:val="TableText"/>
              <w:spacing w:line="240" w:lineRule="auto"/>
              <w:jc w:val="right"/>
              <w:cnfStyle w:val="000000100000" w:firstRow="0" w:lastRow="0" w:firstColumn="0" w:lastColumn="0" w:oddVBand="0" w:evenVBand="0" w:oddHBand="1" w:evenHBand="0" w:firstRowFirstColumn="0" w:firstRowLastColumn="0" w:lastRowFirstColumn="0" w:lastRowLastColumn="0"/>
              <w:rPr>
                <w:sz w:val="12"/>
                <w:szCs w:val="12"/>
              </w:rPr>
            </w:pPr>
          </w:p>
        </w:tc>
        <w:tc>
          <w:tcPr>
            <w:tcW w:w="709" w:type="dxa"/>
          </w:tcPr>
          <w:p w14:paraId="1D63A3E4" w14:textId="77777777" w:rsidR="00F16A45" w:rsidRPr="000F1F50" w:rsidRDefault="00F16A45" w:rsidP="00481903">
            <w:pPr>
              <w:pStyle w:val="TableText"/>
              <w:spacing w:line="240" w:lineRule="auto"/>
              <w:jc w:val="right"/>
              <w:cnfStyle w:val="000000100000" w:firstRow="0" w:lastRow="0" w:firstColumn="0" w:lastColumn="0" w:oddVBand="0" w:evenVBand="0" w:oddHBand="1" w:evenHBand="0" w:firstRowFirstColumn="0" w:firstRowLastColumn="0" w:lastRowFirstColumn="0" w:lastRowLastColumn="0"/>
              <w:rPr>
                <w:sz w:val="12"/>
                <w:szCs w:val="12"/>
              </w:rPr>
            </w:pPr>
          </w:p>
        </w:tc>
        <w:tc>
          <w:tcPr>
            <w:tcW w:w="567" w:type="dxa"/>
            <w:tcBorders>
              <w:right w:val="single" w:sz="4" w:space="0" w:color="auto"/>
            </w:tcBorders>
          </w:tcPr>
          <w:p w14:paraId="12931515" w14:textId="77777777" w:rsidR="00F16A45" w:rsidRPr="000F1F50" w:rsidRDefault="00F16A45" w:rsidP="00481903">
            <w:pPr>
              <w:pStyle w:val="TableText"/>
              <w:spacing w:line="240" w:lineRule="auto"/>
              <w:jc w:val="right"/>
              <w:cnfStyle w:val="000000100000" w:firstRow="0" w:lastRow="0" w:firstColumn="0" w:lastColumn="0" w:oddVBand="0" w:evenVBand="0" w:oddHBand="1" w:evenHBand="0" w:firstRowFirstColumn="0" w:firstRowLastColumn="0" w:lastRowFirstColumn="0" w:lastRowLastColumn="0"/>
              <w:rPr>
                <w:sz w:val="12"/>
                <w:szCs w:val="12"/>
              </w:rPr>
            </w:pPr>
          </w:p>
        </w:tc>
        <w:tc>
          <w:tcPr>
            <w:tcW w:w="662" w:type="dxa"/>
            <w:tcBorders>
              <w:left w:val="single" w:sz="4" w:space="0" w:color="auto"/>
            </w:tcBorders>
          </w:tcPr>
          <w:p w14:paraId="2F9C8366" w14:textId="77777777" w:rsidR="00F16A45" w:rsidRPr="000F1F50" w:rsidRDefault="00F16A45" w:rsidP="00481903">
            <w:pPr>
              <w:pStyle w:val="TableText"/>
              <w:spacing w:line="240" w:lineRule="auto"/>
              <w:jc w:val="right"/>
              <w:cnfStyle w:val="000000100000" w:firstRow="0" w:lastRow="0" w:firstColumn="0" w:lastColumn="0" w:oddVBand="0" w:evenVBand="0" w:oddHBand="1" w:evenHBand="0" w:firstRowFirstColumn="0" w:firstRowLastColumn="0" w:lastRowFirstColumn="0" w:lastRowLastColumn="0"/>
              <w:rPr>
                <w:sz w:val="12"/>
                <w:szCs w:val="12"/>
              </w:rPr>
            </w:pPr>
          </w:p>
        </w:tc>
        <w:tc>
          <w:tcPr>
            <w:tcW w:w="425" w:type="dxa"/>
          </w:tcPr>
          <w:p w14:paraId="22699F72" w14:textId="77777777" w:rsidR="00F16A45" w:rsidRPr="000F1F50" w:rsidRDefault="00F16A45" w:rsidP="00481903">
            <w:pPr>
              <w:pStyle w:val="TableText"/>
              <w:spacing w:line="240" w:lineRule="auto"/>
              <w:jc w:val="right"/>
              <w:cnfStyle w:val="000000100000" w:firstRow="0" w:lastRow="0" w:firstColumn="0" w:lastColumn="0" w:oddVBand="0" w:evenVBand="0" w:oddHBand="1" w:evenHBand="0" w:firstRowFirstColumn="0" w:firstRowLastColumn="0" w:lastRowFirstColumn="0" w:lastRowLastColumn="0"/>
              <w:rPr>
                <w:sz w:val="12"/>
                <w:szCs w:val="12"/>
              </w:rPr>
            </w:pPr>
          </w:p>
        </w:tc>
        <w:tc>
          <w:tcPr>
            <w:tcW w:w="755" w:type="dxa"/>
          </w:tcPr>
          <w:p w14:paraId="4916A584" w14:textId="77777777" w:rsidR="00F16A45" w:rsidRPr="000F1F50" w:rsidRDefault="00F16A45" w:rsidP="00481903">
            <w:pPr>
              <w:pStyle w:val="TableText"/>
              <w:spacing w:line="240" w:lineRule="auto"/>
              <w:jc w:val="right"/>
              <w:cnfStyle w:val="000000100000" w:firstRow="0" w:lastRow="0" w:firstColumn="0" w:lastColumn="0" w:oddVBand="0" w:evenVBand="0" w:oddHBand="1" w:evenHBand="0" w:firstRowFirstColumn="0" w:firstRowLastColumn="0" w:lastRowFirstColumn="0" w:lastRowLastColumn="0"/>
              <w:rPr>
                <w:sz w:val="12"/>
                <w:szCs w:val="12"/>
              </w:rPr>
            </w:pPr>
          </w:p>
        </w:tc>
        <w:tc>
          <w:tcPr>
            <w:tcW w:w="425" w:type="dxa"/>
          </w:tcPr>
          <w:p w14:paraId="04D88F46" w14:textId="77777777" w:rsidR="00F16A45" w:rsidRPr="000F1F50" w:rsidRDefault="00F16A45" w:rsidP="00481903">
            <w:pPr>
              <w:pStyle w:val="TableText"/>
              <w:spacing w:line="240" w:lineRule="auto"/>
              <w:jc w:val="right"/>
              <w:cnfStyle w:val="000000100000" w:firstRow="0" w:lastRow="0" w:firstColumn="0" w:lastColumn="0" w:oddVBand="0" w:evenVBand="0" w:oddHBand="1" w:evenHBand="0" w:firstRowFirstColumn="0" w:firstRowLastColumn="0" w:lastRowFirstColumn="0" w:lastRowLastColumn="0"/>
              <w:rPr>
                <w:sz w:val="12"/>
                <w:szCs w:val="12"/>
              </w:rPr>
            </w:pPr>
          </w:p>
        </w:tc>
        <w:tc>
          <w:tcPr>
            <w:tcW w:w="709" w:type="dxa"/>
          </w:tcPr>
          <w:p w14:paraId="02FD2D80" w14:textId="77777777" w:rsidR="00F16A45" w:rsidRPr="000F1F50" w:rsidRDefault="00F16A45" w:rsidP="00481903">
            <w:pPr>
              <w:pStyle w:val="TableText"/>
              <w:spacing w:line="240" w:lineRule="auto"/>
              <w:jc w:val="right"/>
              <w:cnfStyle w:val="000000100000" w:firstRow="0" w:lastRow="0" w:firstColumn="0" w:lastColumn="0" w:oddVBand="0" w:evenVBand="0" w:oddHBand="1" w:evenHBand="0" w:firstRowFirstColumn="0" w:firstRowLastColumn="0" w:lastRowFirstColumn="0" w:lastRowLastColumn="0"/>
              <w:rPr>
                <w:sz w:val="12"/>
                <w:szCs w:val="12"/>
              </w:rPr>
            </w:pPr>
          </w:p>
        </w:tc>
        <w:tc>
          <w:tcPr>
            <w:tcW w:w="567" w:type="dxa"/>
          </w:tcPr>
          <w:p w14:paraId="45C73C66" w14:textId="77777777" w:rsidR="00F16A45" w:rsidRPr="000F1F50" w:rsidRDefault="00F16A45" w:rsidP="00481903">
            <w:pPr>
              <w:pStyle w:val="TableText"/>
              <w:spacing w:line="240" w:lineRule="auto"/>
              <w:jc w:val="right"/>
              <w:cnfStyle w:val="000000100000" w:firstRow="0" w:lastRow="0" w:firstColumn="0" w:lastColumn="0" w:oddVBand="0" w:evenVBand="0" w:oddHBand="1" w:evenHBand="0" w:firstRowFirstColumn="0" w:firstRowLastColumn="0" w:lastRowFirstColumn="0" w:lastRowLastColumn="0"/>
              <w:rPr>
                <w:sz w:val="12"/>
                <w:szCs w:val="12"/>
              </w:rPr>
            </w:pPr>
          </w:p>
        </w:tc>
        <w:tc>
          <w:tcPr>
            <w:tcW w:w="709" w:type="dxa"/>
          </w:tcPr>
          <w:p w14:paraId="0764F80B" w14:textId="77777777" w:rsidR="00F16A45" w:rsidRPr="000F1F50" w:rsidRDefault="00F16A45" w:rsidP="00481903">
            <w:pPr>
              <w:pStyle w:val="TableText"/>
              <w:spacing w:line="240" w:lineRule="auto"/>
              <w:jc w:val="right"/>
              <w:cnfStyle w:val="000000100000" w:firstRow="0" w:lastRow="0" w:firstColumn="0" w:lastColumn="0" w:oddVBand="0" w:evenVBand="0" w:oddHBand="1" w:evenHBand="0" w:firstRowFirstColumn="0" w:firstRowLastColumn="0" w:lastRowFirstColumn="0" w:lastRowLastColumn="0"/>
              <w:rPr>
                <w:sz w:val="12"/>
                <w:szCs w:val="12"/>
              </w:rPr>
            </w:pPr>
          </w:p>
        </w:tc>
        <w:tc>
          <w:tcPr>
            <w:tcW w:w="548" w:type="dxa"/>
            <w:tcBorders>
              <w:right w:val="single" w:sz="4" w:space="0" w:color="auto"/>
            </w:tcBorders>
          </w:tcPr>
          <w:p w14:paraId="478C6017" w14:textId="77777777" w:rsidR="00F16A45" w:rsidRPr="000F1F50" w:rsidRDefault="00F16A45" w:rsidP="00481903">
            <w:pPr>
              <w:pStyle w:val="TableText"/>
              <w:spacing w:line="240" w:lineRule="auto"/>
              <w:jc w:val="right"/>
              <w:cnfStyle w:val="000000100000" w:firstRow="0" w:lastRow="0" w:firstColumn="0" w:lastColumn="0" w:oddVBand="0" w:evenVBand="0" w:oddHBand="1" w:evenHBand="0" w:firstRowFirstColumn="0" w:firstRowLastColumn="0" w:lastRowFirstColumn="0" w:lastRowLastColumn="0"/>
              <w:rPr>
                <w:sz w:val="12"/>
                <w:szCs w:val="12"/>
              </w:rPr>
            </w:pPr>
          </w:p>
        </w:tc>
        <w:tc>
          <w:tcPr>
            <w:tcW w:w="823" w:type="dxa"/>
            <w:tcBorders>
              <w:left w:val="single" w:sz="4" w:space="0" w:color="auto"/>
            </w:tcBorders>
          </w:tcPr>
          <w:p w14:paraId="6F4F1EA1" w14:textId="77777777" w:rsidR="00F16A45" w:rsidRPr="000F1F50" w:rsidRDefault="00F16A45" w:rsidP="00481903">
            <w:pPr>
              <w:pStyle w:val="TableText"/>
              <w:spacing w:line="240" w:lineRule="auto"/>
              <w:jc w:val="right"/>
              <w:cnfStyle w:val="000000100000" w:firstRow="0" w:lastRow="0" w:firstColumn="0" w:lastColumn="0" w:oddVBand="0" w:evenVBand="0" w:oddHBand="1" w:evenHBand="0" w:firstRowFirstColumn="0" w:firstRowLastColumn="0" w:lastRowFirstColumn="0" w:lastRowLastColumn="0"/>
              <w:rPr>
                <w:sz w:val="12"/>
                <w:szCs w:val="12"/>
              </w:rPr>
            </w:pPr>
          </w:p>
        </w:tc>
        <w:tc>
          <w:tcPr>
            <w:tcW w:w="851" w:type="dxa"/>
          </w:tcPr>
          <w:p w14:paraId="4957033E" w14:textId="77777777" w:rsidR="00F16A45" w:rsidRPr="000F1F50" w:rsidRDefault="00F16A45" w:rsidP="00481903">
            <w:pPr>
              <w:pStyle w:val="TableText"/>
              <w:spacing w:line="240" w:lineRule="auto"/>
              <w:jc w:val="right"/>
              <w:cnfStyle w:val="000000100000" w:firstRow="0" w:lastRow="0" w:firstColumn="0" w:lastColumn="0" w:oddVBand="0" w:evenVBand="0" w:oddHBand="1" w:evenHBand="0" w:firstRowFirstColumn="0" w:firstRowLastColumn="0" w:lastRowFirstColumn="0" w:lastRowLastColumn="0"/>
              <w:rPr>
                <w:sz w:val="12"/>
                <w:szCs w:val="12"/>
              </w:rPr>
            </w:pPr>
          </w:p>
        </w:tc>
        <w:tc>
          <w:tcPr>
            <w:tcW w:w="1276" w:type="dxa"/>
          </w:tcPr>
          <w:p w14:paraId="2A244C00" w14:textId="77777777" w:rsidR="00F16A45" w:rsidRPr="000F1F50" w:rsidRDefault="00F16A45" w:rsidP="00481903">
            <w:pPr>
              <w:pStyle w:val="TableText"/>
              <w:spacing w:line="240" w:lineRule="auto"/>
              <w:jc w:val="right"/>
              <w:cnfStyle w:val="000000100000" w:firstRow="0" w:lastRow="0" w:firstColumn="0" w:lastColumn="0" w:oddVBand="0" w:evenVBand="0" w:oddHBand="1" w:evenHBand="0" w:firstRowFirstColumn="0" w:firstRowLastColumn="0" w:lastRowFirstColumn="0" w:lastRowLastColumn="0"/>
              <w:rPr>
                <w:sz w:val="12"/>
                <w:szCs w:val="12"/>
              </w:rPr>
            </w:pPr>
          </w:p>
        </w:tc>
        <w:tc>
          <w:tcPr>
            <w:tcW w:w="1038" w:type="dxa"/>
          </w:tcPr>
          <w:p w14:paraId="4D8453BF" w14:textId="77777777" w:rsidR="00F16A45" w:rsidRPr="000F1F50" w:rsidRDefault="00F16A45" w:rsidP="00481903">
            <w:pPr>
              <w:pStyle w:val="TableText"/>
              <w:spacing w:line="240" w:lineRule="auto"/>
              <w:jc w:val="right"/>
              <w:cnfStyle w:val="000000100000" w:firstRow="0" w:lastRow="0" w:firstColumn="0" w:lastColumn="0" w:oddVBand="0" w:evenVBand="0" w:oddHBand="1" w:evenHBand="0" w:firstRowFirstColumn="0" w:firstRowLastColumn="0" w:lastRowFirstColumn="0" w:lastRowLastColumn="0"/>
              <w:rPr>
                <w:sz w:val="12"/>
                <w:szCs w:val="12"/>
              </w:rPr>
            </w:pPr>
          </w:p>
        </w:tc>
      </w:tr>
      <w:tr w:rsidR="0088420A" w:rsidRPr="000F1F50" w14:paraId="7B4059C8" w14:textId="77777777" w:rsidTr="0088420A">
        <w:tc>
          <w:tcPr>
            <w:cnfStyle w:val="001000000000" w:firstRow="0" w:lastRow="0" w:firstColumn="1" w:lastColumn="0" w:oddVBand="0" w:evenVBand="0" w:oddHBand="0" w:evenHBand="0" w:firstRowFirstColumn="0" w:firstRowLastColumn="0" w:lastRowFirstColumn="0" w:lastRowLastColumn="0"/>
            <w:tcW w:w="237" w:type="dxa"/>
          </w:tcPr>
          <w:p w14:paraId="642B6DA8" w14:textId="77777777" w:rsidR="00F16A45" w:rsidRPr="000F1F50" w:rsidRDefault="00F16A45" w:rsidP="00F16A45">
            <w:pPr>
              <w:pStyle w:val="TableText"/>
              <w:spacing w:line="240" w:lineRule="auto"/>
              <w:rPr>
                <w:sz w:val="12"/>
                <w:szCs w:val="12"/>
              </w:rPr>
            </w:pPr>
          </w:p>
        </w:tc>
        <w:tc>
          <w:tcPr>
            <w:tcW w:w="756" w:type="dxa"/>
            <w:tcBorders>
              <w:right w:val="single" w:sz="4" w:space="0" w:color="auto"/>
            </w:tcBorders>
          </w:tcPr>
          <w:p w14:paraId="711AABEE" w14:textId="42C39523" w:rsidR="00F16A45" w:rsidRPr="000F1F50" w:rsidRDefault="00F16A45" w:rsidP="00F16A45">
            <w:pPr>
              <w:pStyle w:val="TableText"/>
              <w:spacing w:line="240" w:lineRule="auto"/>
              <w:cnfStyle w:val="000000000000" w:firstRow="0" w:lastRow="0" w:firstColumn="0" w:lastColumn="0" w:oddVBand="0" w:evenVBand="0" w:oddHBand="0" w:evenHBand="0" w:firstRowFirstColumn="0" w:firstRowLastColumn="0" w:lastRowFirstColumn="0" w:lastRowLastColumn="0"/>
              <w:rPr>
                <w:sz w:val="12"/>
                <w:szCs w:val="12"/>
              </w:rPr>
            </w:pPr>
            <w:r w:rsidRPr="000F1F50">
              <w:rPr>
                <w:sz w:val="12"/>
                <w:szCs w:val="12"/>
              </w:rPr>
              <w:t>7/2/</w:t>
            </w:r>
            <w:r w:rsidR="00DE4991" w:rsidRPr="000F1F50">
              <w:rPr>
                <w:sz w:val="12"/>
                <w:szCs w:val="12"/>
              </w:rPr>
              <w:t>20</w:t>
            </w:r>
            <w:r w:rsidR="00DE4991">
              <w:rPr>
                <w:sz w:val="12"/>
                <w:szCs w:val="12"/>
              </w:rPr>
              <w:t>22</w:t>
            </w:r>
          </w:p>
        </w:tc>
        <w:tc>
          <w:tcPr>
            <w:tcW w:w="755" w:type="dxa"/>
            <w:tcBorders>
              <w:left w:val="single" w:sz="4" w:space="0" w:color="auto"/>
            </w:tcBorders>
          </w:tcPr>
          <w:p w14:paraId="2742CADD" w14:textId="77777777" w:rsidR="00F16A45" w:rsidRPr="000F1F50" w:rsidRDefault="00F16A45" w:rsidP="00481903">
            <w:pPr>
              <w:pStyle w:val="TableText"/>
              <w:spacing w:line="240" w:lineRule="auto"/>
              <w:jc w:val="right"/>
              <w:cnfStyle w:val="000000000000" w:firstRow="0" w:lastRow="0" w:firstColumn="0" w:lastColumn="0" w:oddVBand="0" w:evenVBand="0" w:oddHBand="0" w:evenHBand="0" w:firstRowFirstColumn="0" w:firstRowLastColumn="0" w:lastRowFirstColumn="0" w:lastRowLastColumn="0"/>
              <w:rPr>
                <w:sz w:val="12"/>
                <w:szCs w:val="12"/>
              </w:rPr>
            </w:pPr>
          </w:p>
        </w:tc>
        <w:tc>
          <w:tcPr>
            <w:tcW w:w="425" w:type="dxa"/>
          </w:tcPr>
          <w:p w14:paraId="486D4E6F" w14:textId="77777777" w:rsidR="00F16A45" w:rsidRPr="000F1F50" w:rsidRDefault="00F16A45" w:rsidP="00481903">
            <w:pPr>
              <w:pStyle w:val="TableText"/>
              <w:spacing w:line="240" w:lineRule="auto"/>
              <w:jc w:val="right"/>
              <w:cnfStyle w:val="000000000000" w:firstRow="0" w:lastRow="0" w:firstColumn="0" w:lastColumn="0" w:oddVBand="0" w:evenVBand="0" w:oddHBand="0" w:evenHBand="0" w:firstRowFirstColumn="0" w:firstRowLastColumn="0" w:lastRowFirstColumn="0" w:lastRowLastColumn="0"/>
              <w:rPr>
                <w:sz w:val="12"/>
                <w:szCs w:val="12"/>
              </w:rPr>
            </w:pPr>
          </w:p>
        </w:tc>
        <w:tc>
          <w:tcPr>
            <w:tcW w:w="709" w:type="dxa"/>
          </w:tcPr>
          <w:p w14:paraId="2466E379" w14:textId="77777777" w:rsidR="00F16A45" w:rsidRPr="000F1F50" w:rsidRDefault="00F16A45" w:rsidP="00481903">
            <w:pPr>
              <w:pStyle w:val="TableText"/>
              <w:spacing w:line="240" w:lineRule="auto"/>
              <w:jc w:val="right"/>
              <w:cnfStyle w:val="000000000000" w:firstRow="0" w:lastRow="0" w:firstColumn="0" w:lastColumn="0" w:oddVBand="0" w:evenVBand="0" w:oddHBand="0" w:evenHBand="0" w:firstRowFirstColumn="0" w:firstRowLastColumn="0" w:lastRowFirstColumn="0" w:lastRowLastColumn="0"/>
              <w:rPr>
                <w:sz w:val="12"/>
                <w:szCs w:val="12"/>
              </w:rPr>
            </w:pPr>
          </w:p>
        </w:tc>
        <w:tc>
          <w:tcPr>
            <w:tcW w:w="425" w:type="dxa"/>
          </w:tcPr>
          <w:p w14:paraId="1A31690F" w14:textId="77777777" w:rsidR="00F16A45" w:rsidRPr="000F1F50" w:rsidRDefault="00F16A45" w:rsidP="00481903">
            <w:pPr>
              <w:pStyle w:val="TableText"/>
              <w:spacing w:line="240" w:lineRule="auto"/>
              <w:jc w:val="right"/>
              <w:cnfStyle w:val="000000000000" w:firstRow="0" w:lastRow="0" w:firstColumn="0" w:lastColumn="0" w:oddVBand="0" w:evenVBand="0" w:oddHBand="0" w:evenHBand="0" w:firstRowFirstColumn="0" w:firstRowLastColumn="0" w:lastRowFirstColumn="0" w:lastRowLastColumn="0"/>
              <w:rPr>
                <w:sz w:val="12"/>
                <w:szCs w:val="12"/>
              </w:rPr>
            </w:pPr>
          </w:p>
        </w:tc>
        <w:tc>
          <w:tcPr>
            <w:tcW w:w="709" w:type="dxa"/>
          </w:tcPr>
          <w:p w14:paraId="74981E97" w14:textId="77777777" w:rsidR="00F16A45" w:rsidRPr="000F1F50" w:rsidRDefault="00F16A45" w:rsidP="00481903">
            <w:pPr>
              <w:pStyle w:val="TableText"/>
              <w:spacing w:line="240" w:lineRule="auto"/>
              <w:jc w:val="right"/>
              <w:cnfStyle w:val="000000000000" w:firstRow="0" w:lastRow="0" w:firstColumn="0" w:lastColumn="0" w:oddVBand="0" w:evenVBand="0" w:oddHBand="0" w:evenHBand="0" w:firstRowFirstColumn="0" w:firstRowLastColumn="0" w:lastRowFirstColumn="0" w:lastRowLastColumn="0"/>
              <w:rPr>
                <w:sz w:val="12"/>
                <w:szCs w:val="12"/>
              </w:rPr>
            </w:pPr>
          </w:p>
        </w:tc>
        <w:tc>
          <w:tcPr>
            <w:tcW w:w="567" w:type="dxa"/>
          </w:tcPr>
          <w:p w14:paraId="0ADA8543" w14:textId="77777777" w:rsidR="00F16A45" w:rsidRPr="000F1F50" w:rsidRDefault="00F16A45" w:rsidP="00481903">
            <w:pPr>
              <w:pStyle w:val="TableText"/>
              <w:spacing w:line="240" w:lineRule="auto"/>
              <w:jc w:val="right"/>
              <w:cnfStyle w:val="000000000000" w:firstRow="0" w:lastRow="0" w:firstColumn="0" w:lastColumn="0" w:oddVBand="0" w:evenVBand="0" w:oddHBand="0" w:evenHBand="0" w:firstRowFirstColumn="0" w:firstRowLastColumn="0" w:lastRowFirstColumn="0" w:lastRowLastColumn="0"/>
              <w:rPr>
                <w:sz w:val="12"/>
                <w:szCs w:val="12"/>
              </w:rPr>
            </w:pPr>
          </w:p>
        </w:tc>
        <w:tc>
          <w:tcPr>
            <w:tcW w:w="709" w:type="dxa"/>
          </w:tcPr>
          <w:p w14:paraId="7C371F4C" w14:textId="77777777" w:rsidR="00F16A45" w:rsidRPr="000F1F50" w:rsidRDefault="00F16A45" w:rsidP="00481903">
            <w:pPr>
              <w:pStyle w:val="TableText"/>
              <w:spacing w:line="240" w:lineRule="auto"/>
              <w:jc w:val="right"/>
              <w:cnfStyle w:val="000000000000" w:firstRow="0" w:lastRow="0" w:firstColumn="0" w:lastColumn="0" w:oddVBand="0" w:evenVBand="0" w:oddHBand="0" w:evenHBand="0" w:firstRowFirstColumn="0" w:firstRowLastColumn="0" w:lastRowFirstColumn="0" w:lastRowLastColumn="0"/>
              <w:rPr>
                <w:sz w:val="12"/>
                <w:szCs w:val="12"/>
              </w:rPr>
            </w:pPr>
          </w:p>
        </w:tc>
        <w:tc>
          <w:tcPr>
            <w:tcW w:w="567" w:type="dxa"/>
            <w:tcBorders>
              <w:right w:val="single" w:sz="4" w:space="0" w:color="auto"/>
            </w:tcBorders>
          </w:tcPr>
          <w:p w14:paraId="69B89D25" w14:textId="77777777" w:rsidR="00F16A45" w:rsidRPr="000F1F50" w:rsidRDefault="00F16A45" w:rsidP="00481903">
            <w:pPr>
              <w:pStyle w:val="TableText"/>
              <w:spacing w:line="240" w:lineRule="auto"/>
              <w:jc w:val="right"/>
              <w:cnfStyle w:val="000000000000" w:firstRow="0" w:lastRow="0" w:firstColumn="0" w:lastColumn="0" w:oddVBand="0" w:evenVBand="0" w:oddHBand="0" w:evenHBand="0" w:firstRowFirstColumn="0" w:firstRowLastColumn="0" w:lastRowFirstColumn="0" w:lastRowLastColumn="0"/>
              <w:rPr>
                <w:sz w:val="12"/>
                <w:szCs w:val="12"/>
              </w:rPr>
            </w:pPr>
          </w:p>
        </w:tc>
        <w:tc>
          <w:tcPr>
            <w:tcW w:w="662" w:type="dxa"/>
            <w:tcBorders>
              <w:left w:val="single" w:sz="4" w:space="0" w:color="auto"/>
            </w:tcBorders>
          </w:tcPr>
          <w:p w14:paraId="6A717C11" w14:textId="77777777" w:rsidR="00F16A45" w:rsidRPr="000F1F50" w:rsidRDefault="00F16A45" w:rsidP="00481903">
            <w:pPr>
              <w:pStyle w:val="TableText"/>
              <w:spacing w:line="240" w:lineRule="auto"/>
              <w:jc w:val="right"/>
              <w:cnfStyle w:val="000000000000" w:firstRow="0" w:lastRow="0" w:firstColumn="0" w:lastColumn="0" w:oddVBand="0" w:evenVBand="0" w:oddHBand="0" w:evenHBand="0" w:firstRowFirstColumn="0" w:firstRowLastColumn="0" w:lastRowFirstColumn="0" w:lastRowLastColumn="0"/>
              <w:rPr>
                <w:sz w:val="12"/>
                <w:szCs w:val="12"/>
              </w:rPr>
            </w:pPr>
          </w:p>
        </w:tc>
        <w:tc>
          <w:tcPr>
            <w:tcW w:w="425" w:type="dxa"/>
          </w:tcPr>
          <w:p w14:paraId="1EB17A09" w14:textId="77777777" w:rsidR="00F16A45" w:rsidRPr="000F1F50" w:rsidRDefault="00F16A45" w:rsidP="00481903">
            <w:pPr>
              <w:pStyle w:val="TableText"/>
              <w:spacing w:line="240" w:lineRule="auto"/>
              <w:jc w:val="right"/>
              <w:cnfStyle w:val="000000000000" w:firstRow="0" w:lastRow="0" w:firstColumn="0" w:lastColumn="0" w:oddVBand="0" w:evenVBand="0" w:oddHBand="0" w:evenHBand="0" w:firstRowFirstColumn="0" w:firstRowLastColumn="0" w:lastRowFirstColumn="0" w:lastRowLastColumn="0"/>
              <w:rPr>
                <w:sz w:val="12"/>
                <w:szCs w:val="12"/>
              </w:rPr>
            </w:pPr>
          </w:p>
        </w:tc>
        <w:tc>
          <w:tcPr>
            <w:tcW w:w="755" w:type="dxa"/>
          </w:tcPr>
          <w:p w14:paraId="19A3674A" w14:textId="77777777" w:rsidR="00F16A45" w:rsidRPr="000F1F50" w:rsidRDefault="00F16A45" w:rsidP="00481903">
            <w:pPr>
              <w:pStyle w:val="TableText"/>
              <w:spacing w:line="240" w:lineRule="auto"/>
              <w:jc w:val="right"/>
              <w:cnfStyle w:val="000000000000" w:firstRow="0" w:lastRow="0" w:firstColumn="0" w:lastColumn="0" w:oddVBand="0" w:evenVBand="0" w:oddHBand="0" w:evenHBand="0" w:firstRowFirstColumn="0" w:firstRowLastColumn="0" w:lastRowFirstColumn="0" w:lastRowLastColumn="0"/>
              <w:rPr>
                <w:sz w:val="12"/>
                <w:szCs w:val="12"/>
              </w:rPr>
            </w:pPr>
          </w:p>
        </w:tc>
        <w:tc>
          <w:tcPr>
            <w:tcW w:w="425" w:type="dxa"/>
          </w:tcPr>
          <w:p w14:paraId="2CBE4851" w14:textId="77777777" w:rsidR="00F16A45" w:rsidRPr="000F1F50" w:rsidRDefault="00F16A45" w:rsidP="00481903">
            <w:pPr>
              <w:pStyle w:val="TableText"/>
              <w:spacing w:line="240" w:lineRule="auto"/>
              <w:jc w:val="right"/>
              <w:cnfStyle w:val="000000000000" w:firstRow="0" w:lastRow="0" w:firstColumn="0" w:lastColumn="0" w:oddVBand="0" w:evenVBand="0" w:oddHBand="0" w:evenHBand="0" w:firstRowFirstColumn="0" w:firstRowLastColumn="0" w:lastRowFirstColumn="0" w:lastRowLastColumn="0"/>
              <w:rPr>
                <w:sz w:val="12"/>
                <w:szCs w:val="12"/>
              </w:rPr>
            </w:pPr>
          </w:p>
        </w:tc>
        <w:tc>
          <w:tcPr>
            <w:tcW w:w="709" w:type="dxa"/>
          </w:tcPr>
          <w:p w14:paraId="1AE91B60" w14:textId="77777777" w:rsidR="00F16A45" w:rsidRPr="000F1F50" w:rsidRDefault="00F16A45" w:rsidP="00481903">
            <w:pPr>
              <w:pStyle w:val="TableText"/>
              <w:spacing w:line="240" w:lineRule="auto"/>
              <w:jc w:val="right"/>
              <w:cnfStyle w:val="000000000000" w:firstRow="0" w:lastRow="0" w:firstColumn="0" w:lastColumn="0" w:oddVBand="0" w:evenVBand="0" w:oddHBand="0" w:evenHBand="0" w:firstRowFirstColumn="0" w:firstRowLastColumn="0" w:lastRowFirstColumn="0" w:lastRowLastColumn="0"/>
              <w:rPr>
                <w:sz w:val="12"/>
                <w:szCs w:val="12"/>
              </w:rPr>
            </w:pPr>
          </w:p>
        </w:tc>
        <w:tc>
          <w:tcPr>
            <w:tcW w:w="567" w:type="dxa"/>
          </w:tcPr>
          <w:p w14:paraId="7BCC0471" w14:textId="77777777" w:rsidR="00F16A45" w:rsidRPr="000F1F50" w:rsidRDefault="00F16A45" w:rsidP="00481903">
            <w:pPr>
              <w:pStyle w:val="TableText"/>
              <w:spacing w:line="240" w:lineRule="auto"/>
              <w:jc w:val="right"/>
              <w:cnfStyle w:val="000000000000" w:firstRow="0" w:lastRow="0" w:firstColumn="0" w:lastColumn="0" w:oddVBand="0" w:evenVBand="0" w:oddHBand="0" w:evenHBand="0" w:firstRowFirstColumn="0" w:firstRowLastColumn="0" w:lastRowFirstColumn="0" w:lastRowLastColumn="0"/>
              <w:rPr>
                <w:sz w:val="12"/>
                <w:szCs w:val="12"/>
              </w:rPr>
            </w:pPr>
          </w:p>
        </w:tc>
        <w:tc>
          <w:tcPr>
            <w:tcW w:w="709" w:type="dxa"/>
          </w:tcPr>
          <w:p w14:paraId="5CD369B2" w14:textId="77777777" w:rsidR="00F16A45" w:rsidRPr="000F1F50" w:rsidRDefault="00F16A45" w:rsidP="00481903">
            <w:pPr>
              <w:pStyle w:val="TableText"/>
              <w:spacing w:line="240" w:lineRule="auto"/>
              <w:jc w:val="right"/>
              <w:cnfStyle w:val="000000000000" w:firstRow="0" w:lastRow="0" w:firstColumn="0" w:lastColumn="0" w:oddVBand="0" w:evenVBand="0" w:oddHBand="0" w:evenHBand="0" w:firstRowFirstColumn="0" w:firstRowLastColumn="0" w:lastRowFirstColumn="0" w:lastRowLastColumn="0"/>
              <w:rPr>
                <w:sz w:val="12"/>
                <w:szCs w:val="12"/>
              </w:rPr>
            </w:pPr>
          </w:p>
        </w:tc>
        <w:tc>
          <w:tcPr>
            <w:tcW w:w="548" w:type="dxa"/>
            <w:tcBorders>
              <w:right w:val="single" w:sz="4" w:space="0" w:color="auto"/>
            </w:tcBorders>
          </w:tcPr>
          <w:p w14:paraId="358ABB3D" w14:textId="77777777" w:rsidR="00F16A45" w:rsidRPr="000F1F50" w:rsidRDefault="00F16A45" w:rsidP="00481903">
            <w:pPr>
              <w:pStyle w:val="TableText"/>
              <w:spacing w:line="240" w:lineRule="auto"/>
              <w:jc w:val="right"/>
              <w:cnfStyle w:val="000000000000" w:firstRow="0" w:lastRow="0" w:firstColumn="0" w:lastColumn="0" w:oddVBand="0" w:evenVBand="0" w:oddHBand="0" w:evenHBand="0" w:firstRowFirstColumn="0" w:firstRowLastColumn="0" w:lastRowFirstColumn="0" w:lastRowLastColumn="0"/>
              <w:rPr>
                <w:sz w:val="12"/>
                <w:szCs w:val="12"/>
              </w:rPr>
            </w:pPr>
          </w:p>
        </w:tc>
        <w:tc>
          <w:tcPr>
            <w:tcW w:w="823" w:type="dxa"/>
            <w:tcBorders>
              <w:left w:val="single" w:sz="4" w:space="0" w:color="auto"/>
            </w:tcBorders>
          </w:tcPr>
          <w:p w14:paraId="263DEA61" w14:textId="77777777" w:rsidR="00F16A45" w:rsidRPr="000F1F50" w:rsidRDefault="00F16A45" w:rsidP="00481903">
            <w:pPr>
              <w:pStyle w:val="TableText"/>
              <w:spacing w:line="240" w:lineRule="auto"/>
              <w:jc w:val="right"/>
              <w:cnfStyle w:val="000000000000" w:firstRow="0" w:lastRow="0" w:firstColumn="0" w:lastColumn="0" w:oddVBand="0" w:evenVBand="0" w:oddHBand="0" w:evenHBand="0" w:firstRowFirstColumn="0" w:firstRowLastColumn="0" w:lastRowFirstColumn="0" w:lastRowLastColumn="0"/>
              <w:rPr>
                <w:sz w:val="12"/>
                <w:szCs w:val="12"/>
              </w:rPr>
            </w:pPr>
          </w:p>
        </w:tc>
        <w:tc>
          <w:tcPr>
            <w:tcW w:w="851" w:type="dxa"/>
          </w:tcPr>
          <w:p w14:paraId="30554F33" w14:textId="77777777" w:rsidR="00F16A45" w:rsidRPr="000F1F50" w:rsidRDefault="00F16A45" w:rsidP="00481903">
            <w:pPr>
              <w:pStyle w:val="TableText"/>
              <w:spacing w:line="240" w:lineRule="auto"/>
              <w:jc w:val="right"/>
              <w:cnfStyle w:val="000000000000" w:firstRow="0" w:lastRow="0" w:firstColumn="0" w:lastColumn="0" w:oddVBand="0" w:evenVBand="0" w:oddHBand="0" w:evenHBand="0" w:firstRowFirstColumn="0" w:firstRowLastColumn="0" w:lastRowFirstColumn="0" w:lastRowLastColumn="0"/>
              <w:rPr>
                <w:sz w:val="12"/>
                <w:szCs w:val="12"/>
              </w:rPr>
            </w:pPr>
          </w:p>
        </w:tc>
        <w:tc>
          <w:tcPr>
            <w:tcW w:w="1276" w:type="dxa"/>
          </w:tcPr>
          <w:p w14:paraId="53CC27B3" w14:textId="77777777" w:rsidR="00F16A45" w:rsidRPr="000F1F50" w:rsidRDefault="00F16A45" w:rsidP="00481903">
            <w:pPr>
              <w:pStyle w:val="TableText"/>
              <w:spacing w:line="240" w:lineRule="auto"/>
              <w:jc w:val="right"/>
              <w:cnfStyle w:val="000000000000" w:firstRow="0" w:lastRow="0" w:firstColumn="0" w:lastColumn="0" w:oddVBand="0" w:evenVBand="0" w:oddHBand="0" w:evenHBand="0" w:firstRowFirstColumn="0" w:firstRowLastColumn="0" w:lastRowFirstColumn="0" w:lastRowLastColumn="0"/>
              <w:rPr>
                <w:sz w:val="12"/>
                <w:szCs w:val="12"/>
              </w:rPr>
            </w:pPr>
          </w:p>
        </w:tc>
        <w:tc>
          <w:tcPr>
            <w:tcW w:w="1038" w:type="dxa"/>
          </w:tcPr>
          <w:p w14:paraId="5A1BE581" w14:textId="77777777" w:rsidR="00F16A45" w:rsidRPr="000F1F50" w:rsidRDefault="00F16A45" w:rsidP="00481903">
            <w:pPr>
              <w:pStyle w:val="TableText"/>
              <w:spacing w:line="240" w:lineRule="auto"/>
              <w:jc w:val="right"/>
              <w:cnfStyle w:val="000000000000" w:firstRow="0" w:lastRow="0" w:firstColumn="0" w:lastColumn="0" w:oddVBand="0" w:evenVBand="0" w:oddHBand="0" w:evenHBand="0" w:firstRowFirstColumn="0" w:firstRowLastColumn="0" w:lastRowFirstColumn="0" w:lastRowLastColumn="0"/>
              <w:rPr>
                <w:sz w:val="12"/>
                <w:szCs w:val="12"/>
              </w:rPr>
            </w:pPr>
          </w:p>
        </w:tc>
      </w:tr>
      <w:tr w:rsidR="0088420A" w:rsidRPr="000F1F50" w14:paraId="0AF39998" w14:textId="77777777" w:rsidTr="008842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 w:type="dxa"/>
          </w:tcPr>
          <w:p w14:paraId="1AB3B6B6" w14:textId="77777777" w:rsidR="00F16A45" w:rsidRPr="000F1F50" w:rsidRDefault="00F16A45" w:rsidP="00F16A45">
            <w:pPr>
              <w:pStyle w:val="TableText"/>
              <w:spacing w:line="240" w:lineRule="auto"/>
              <w:rPr>
                <w:sz w:val="12"/>
                <w:szCs w:val="12"/>
              </w:rPr>
            </w:pPr>
          </w:p>
        </w:tc>
        <w:tc>
          <w:tcPr>
            <w:tcW w:w="756" w:type="dxa"/>
            <w:tcBorders>
              <w:right w:val="single" w:sz="4" w:space="0" w:color="auto"/>
            </w:tcBorders>
          </w:tcPr>
          <w:p w14:paraId="7B7531BD" w14:textId="643D41F2" w:rsidR="00F16A45" w:rsidRPr="000F1F50" w:rsidRDefault="00F16A45" w:rsidP="00F16A45">
            <w:pPr>
              <w:pStyle w:val="TableText"/>
              <w:spacing w:line="240" w:lineRule="auto"/>
              <w:cnfStyle w:val="000000100000" w:firstRow="0" w:lastRow="0" w:firstColumn="0" w:lastColumn="0" w:oddVBand="0" w:evenVBand="0" w:oddHBand="1" w:evenHBand="0" w:firstRowFirstColumn="0" w:firstRowLastColumn="0" w:lastRowFirstColumn="0" w:lastRowLastColumn="0"/>
              <w:rPr>
                <w:sz w:val="12"/>
                <w:szCs w:val="12"/>
              </w:rPr>
            </w:pPr>
            <w:r w:rsidRPr="000F1F50">
              <w:rPr>
                <w:sz w:val="12"/>
                <w:szCs w:val="12"/>
              </w:rPr>
              <w:t>8/2/</w:t>
            </w:r>
            <w:r w:rsidR="00DE4991" w:rsidRPr="000F1F50">
              <w:rPr>
                <w:sz w:val="12"/>
                <w:szCs w:val="12"/>
              </w:rPr>
              <w:t>20</w:t>
            </w:r>
            <w:r w:rsidR="00DE4991">
              <w:rPr>
                <w:sz w:val="12"/>
                <w:szCs w:val="12"/>
              </w:rPr>
              <w:t>22</w:t>
            </w:r>
          </w:p>
        </w:tc>
        <w:tc>
          <w:tcPr>
            <w:tcW w:w="755" w:type="dxa"/>
            <w:tcBorders>
              <w:left w:val="single" w:sz="4" w:space="0" w:color="auto"/>
            </w:tcBorders>
          </w:tcPr>
          <w:p w14:paraId="5A0226C1" w14:textId="77777777" w:rsidR="00F16A45" w:rsidRPr="000F1F50" w:rsidRDefault="00F16A45" w:rsidP="00481903">
            <w:pPr>
              <w:pStyle w:val="TableText"/>
              <w:spacing w:line="240" w:lineRule="auto"/>
              <w:jc w:val="right"/>
              <w:cnfStyle w:val="000000100000" w:firstRow="0" w:lastRow="0" w:firstColumn="0" w:lastColumn="0" w:oddVBand="0" w:evenVBand="0" w:oddHBand="1" w:evenHBand="0" w:firstRowFirstColumn="0" w:firstRowLastColumn="0" w:lastRowFirstColumn="0" w:lastRowLastColumn="0"/>
              <w:rPr>
                <w:sz w:val="12"/>
                <w:szCs w:val="12"/>
              </w:rPr>
            </w:pPr>
          </w:p>
        </w:tc>
        <w:tc>
          <w:tcPr>
            <w:tcW w:w="425" w:type="dxa"/>
          </w:tcPr>
          <w:p w14:paraId="1F95A723" w14:textId="77777777" w:rsidR="00F16A45" w:rsidRPr="000F1F50" w:rsidRDefault="00F16A45" w:rsidP="00481903">
            <w:pPr>
              <w:pStyle w:val="TableText"/>
              <w:spacing w:line="240" w:lineRule="auto"/>
              <w:jc w:val="right"/>
              <w:cnfStyle w:val="000000100000" w:firstRow="0" w:lastRow="0" w:firstColumn="0" w:lastColumn="0" w:oddVBand="0" w:evenVBand="0" w:oddHBand="1" w:evenHBand="0" w:firstRowFirstColumn="0" w:firstRowLastColumn="0" w:lastRowFirstColumn="0" w:lastRowLastColumn="0"/>
              <w:rPr>
                <w:sz w:val="12"/>
                <w:szCs w:val="12"/>
              </w:rPr>
            </w:pPr>
          </w:p>
        </w:tc>
        <w:tc>
          <w:tcPr>
            <w:tcW w:w="709" w:type="dxa"/>
          </w:tcPr>
          <w:p w14:paraId="4B39A834" w14:textId="77777777" w:rsidR="00F16A45" w:rsidRPr="000F1F50" w:rsidRDefault="00F16A45" w:rsidP="00481903">
            <w:pPr>
              <w:pStyle w:val="TableText"/>
              <w:spacing w:line="240" w:lineRule="auto"/>
              <w:jc w:val="right"/>
              <w:cnfStyle w:val="000000100000" w:firstRow="0" w:lastRow="0" w:firstColumn="0" w:lastColumn="0" w:oddVBand="0" w:evenVBand="0" w:oddHBand="1" w:evenHBand="0" w:firstRowFirstColumn="0" w:firstRowLastColumn="0" w:lastRowFirstColumn="0" w:lastRowLastColumn="0"/>
              <w:rPr>
                <w:sz w:val="12"/>
                <w:szCs w:val="12"/>
              </w:rPr>
            </w:pPr>
          </w:p>
        </w:tc>
        <w:tc>
          <w:tcPr>
            <w:tcW w:w="425" w:type="dxa"/>
          </w:tcPr>
          <w:p w14:paraId="7DF6BF75" w14:textId="77777777" w:rsidR="00F16A45" w:rsidRPr="000F1F50" w:rsidRDefault="00F16A45" w:rsidP="00481903">
            <w:pPr>
              <w:pStyle w:val="TableText"/>
              <w:spacing w:line="240" w:lineRule="auto"/>
              <w:jc w:val="right"/>
              <w:cnfStyle w:val="000000100000" w:firstRow="0" w:lastRow="0" w:firstColumn="0" w:lastColumn="0" w:oddVBand="0" w:evenVBand="0" w:oddHBand="1" w:evenHBand="0" w:firstRowFirstColumn="0" w:firstRowLastColumn="0" w:lastRowFirstColumn="0" w:lastRowLastColumn="0"/>
              <w:rPr>
                <w:sz w:val="12"/>
                <w:szCs w:val="12"/>
              </w:rPr>
            </w:pPr>
          </w:p>
        </w:tc>
        <w:tc>
          <w:tcPr>
            <w:tcW w:w="709" w:type="dxa"/>
          </w:tcPr>
          <w:p w14:paraId="7E1BF345" w14:textId="77777777" w:rsidR="00F16A45" w:rsidRPr="000F1F50" w:rsidRDefault="00F16A45" w:rsidP="00481903">
            <w:pPr>
              <w:pStyle w:val="TableText"/>
              <w:spacing w:line="240" w:lineRule="auto"/>
              <w:jc w:val="right"/>
              <w:cnfStyle w:val="000000100000" w:firstRow="0" w:lastRow="0" w:firstColumn="0" w:lastColumn="0" w:oddVBand="0" w:evenVBand="0" w:oddHBand="1" w:evenHBand="0" w:firstRowFirstColumn="0" w:firstRowLastColumn="0" w:lastRowFirstColumn="0" w:lastRowLastColumn="0"/>
              <w:rPr>
                <w:sz w:val="12"/>
                <w:szCs w:val="12"/>
              </w:rPr>
            </w:pPr>
          </w:p>
        </w:tc>
        <w:tc>
          <w:tcPr>
            <w:tcW w:w="567" w:type="dxa"/>
          </w:tcPr>
          <w:p w14:paraId="1150A35E" w14:textId="77777777" w:rsidR="00F16A45" w:rsidRPr="000F1F50" w:rsidRDefault="00F16A45" w:rsidP="00481903">
            <w:pPr>
              <w:pStyle w:val="TableText"/>
              <w:spacing w:line="240" w:lineRule="auto"/>
              <w:jc w:val="right"/>
              <w:cnfStyle w:val="000000100000" w:firstRow="0" w:lastRow="0" w:firstColumn="0" w:lastColumn="0" w:oddVBand="0" w:evenVBand="0" w:oddHBand="1" w:evenHBand="0" w:firstRowFirstColumn="0" w:firstRowLastColumn="0" w:lastRowFirstColumn="0" w:lastRowLastColumn="0"/>
              <w:rPr>
                <w:sz w:val="12"/>
                <w:szCs w:val="12"/>
              </w:rPr>
            </w:pPr>
          </w:p>
        </w:tc>
        <w:tc>
          <w:tcPr>
            <w:tcW w:w="709" w:type="dxa"/>
          </w:tcPr>
          <w:p w14:paraId="5D980604" w14:textId="77777777" w:rsidR="00F16A45" w:rsidRPr="000F1F50" w:rsidRDefault="00F16A45" w:rsidP="00481903">
            <w:pPr>
              <w:pStyle w:val="TableText"/>
              <w:spacing w:line="240" w:lineRule="auto"/>
              <w:jc w:val="right"/>
              <w:cnfStyle w:val="000000100000" w:firstRow="0" w:lastRow="0" w:firstColumn="0" w:lastColumn="0" w:oddVBand="0" w:evenVBand="0" w:oddHBand="1" w:evenHBand="0" w:firstRowFirstColumn="0" w:firstRowLastColumn="0" w:lastRowFirstColumn="0" w:lastRowLastColumn="0"/>
              <w:rPr>
                <w:sz w:val="12"/>
                <w:szCs w:val="12"/>
              </w:rPr>
            </w:pPr>
          </w:p>
        </w:tc>
        <w:tc>
          <w:tcPr>
            <w:tcW w:w="567" w:type="dxa"/>
            <w:tcBorders>
              <w:right w:val="single" w:sz="4" w:space="0" w:color="auto"/>
            </w:tcBorders>
          </w:tcPr>
          <w:p w14:paraId="2C2BC27D" w14:textId="77777777" w:rsidR="00F16A45" w:rsidRPr="000F1F50" w:rsidRDefault="00F16A45" w:rsidP="00481903">
            <w:pPr>
              <w:pStyle w:val="TableText"/>
              <w:spacing w:line="240" w:lineRule="auto"/>
              <w:jc w:val="right"/>
              <w:cnfStyle w:val="000000100000" w:firstRow="0" w:lastRow="0" w:firstColumn="0" w:lastColumn="0" w:oddVBand="0" w:evenVBand="0" w:oddHBand="1" w:evenHBand="0" w:firstRowFirstColumn="0" w:firstRowLastColumn="0" w:lastRowFirstColumn="0" w:lastRowLastColumn="0"/>
              <w:rPr>
                <w:sz w:val="12"/>
                <w:szCs w:val="12"/>
              </w:rPr>
            </w:pPr>
          </w:p>
        </w:tc>
        <w:tc>
          <w:tcPr>
            <w:tcW w:w="662" w:type="dxa"/>
            <w:tcBorders>
              <w:left w:val="single" w:sz="4" w:space="0" w:color="auto"/>
            </w:tcBorders>
          </w:tcPr>
          <w:p w14:paraId="25D0F2A1" w14:textId="77777777" w:rsidR="00F16A45" w:rsidRPr="000F1F50" w:rsidRDefault="00F16A45" w:rsidP="00481903">
            <w:pPr>
              <w:pStyle w:val="TableText"/>
              <w:spacing w:line="240" w:lineRule="auto"/>
              <w:jc w:val="right"/>
              <w:cnfStyle w:val="000000100000" w:firstRow="0" w:lastRow="0" w:firstColumn="0" w:lastColumn="0" w:oddVBand="0" w:evenVBand="0" w:oddHBand="1" w:evenHBand="0" w:firstRowFirstColumn="0" w:firstRowLastColumn="0" w:lastRowFirstColumn="0" w:lastRowLastColumn="0"/>
              <w:rPr>
                <w:sz w:val="12"/>
                <w:szCs w:val="12"/>
              </w:rPr>
            </w:pPr>
          </w:p>
        </w:tc>
        <w:tc>
          <w:tcPr>
            <w:tcW w:w="425" w:type="dxa"/>
          </w:tcPr>
          <w:p w14:paraId="5BF8CD53" w14:textId="77777777" w:rsidR="00F16A45" w:rsidRPr="000F1F50" w:rsidRDefault="00F16A45" w:rsidP="00481903">
            <w:pPr>
              <w:pStyle w:val="TableText"/>
              <w:spacing w:line="240" w:lineRule="auto"/>
              <w:jc w:val="right"/>
              <w:cnfStyle w:val="000000100000" w:firstRow="0" w:lastRow="0" w:firstColumn="0" w:lastColumn="0" w:oddVBand="0" w:evenVBand="0" w:oddHBand="1" w:evenHBand="0" w:firstRowFirstColumn="0" w:firstRowLastColumn="0" w:lastRowFirstColumn="0" w:lastRowLastColumn="0"/>
              <w:rPr>
                <w:sz w:val="12"/>
                <w:szCs w:val="12"/>
              </w:rPr>
            </w:pPr>
          </w:p>
        </w:tc>
        <w:tc>
          <w:tcPr>
            <w:tcW w:w="755" w:type="dxa"/>
          </w:tcPr>
          <w:p w14:paraId="72E9C3E3" w14:textId="77777777" w:rsidR="00F16A45" w:rsidRPr="000F1F50" w:rsidRDefault="00F16A45" w:rsidP="00481903">
            <w:pPr>
              <w:pStyle w:val="TableText"/>
              <w:spacing w:line="240" w:lineRule="auto"/>
              <w:jc w:val="right"/>
              <w:cnfStyle w:val="000000100000" w:firstRow="0" w:lastRow="0" w:firstColumn="0" w:lastColumn="0" w:oddVBand="0" w:evenVBand="0" w:oddHBand="1" w:evenHBand="0" w:firstRowFirstColumn="0" w:firstRowLastColumn="0" w:lastRowFirstColumn="0" w:lastRowLastColumn="0"/>
              <w:rPr>
                <w:sz w:val="12"/>
                <w:szCs w:val="12"/>
              </w:rPr>
            </w:pPr>
          </w:p>
        </w:tc>
        <w:tc>
          <w:tcPr>
            <w:tcW w:w="425" w:type="dxa"/>
          </w:tcPr>
          <w:p w14:paraId="0D0CDA66" w14:textId="77777777" w:rsidR="00F16A45" w:rsidRPr="000F1F50" w:rsidRDefault="00F16A45" w:rsidP="00481903">
            <w:pPr>
              <w:pStyle w:val="TableText"/>
              <w:spacing w:line="240" w:lineRule="auto"/>
              <w:jc w:val="right"/>
              <w:cnfStyle w:val="000000100000" w:firstRow="0" w:lastRow="0" w:firstColumn="0" w:lastColumn="0" w:oddVBand="0" w:evenVBand="0" w:oddHBand="1" w:evenHBand="0" w:firstRowFirstColumn="0" w:firstRowLastColumn="0" w:lastRowFirstColumn="0" w:lastRowLastColumn="0"/>
              <w:rPr>
                <w:sz w:val="12"/>
                <w:szCs w:val="12"/>
              </w:rPr>
            </w:pPr>
          </w:p>
        </w:tc>
        <w:tc>
          <w:tcPr>
            <w:tcW w:w="709" w:type="dxa"/>
          </w:tcPr>
          <w:p w14:paraId="41232324" w14:textId="77777777" w:rsidR="00F16A45" w:rsidRPr="000F1F50" w:rsidRDefault="00F16A45" w:rsidP="00481903">
            <w:pPr>
              <w:pStyle w:val="TableText"/>
              <w:spacing w:line="240" w:lineRule="auto"/>
              <w:jc w:val="right"/>
              <w:cnfStyle w:val="000000100000" w:firstRow="0" w:lastRow="0" w:firstColumn="0" w:lastColumn="0" w:oddVBand="0" w:evenVBand="0" w:oddHBand="1" w:evenHBand="0" w:firstRowFirstColumn="0" w:firstRowLastColumn="0" w:lastRowFirstColumn="0" w:lastRowLastColumn="0"/>
              <w:rPr>
                <w:sz w:val="12"/>
                <w:szCs w:val="12"/>
              </w:rPr>
            </w:pPr>
          </w:p>
        </w:tc>
        <w:tc>
          <w:tcPr>
            <w:tcW w:w="567" w:type="dxa"/>
          </w:tcPr>
          <w:p w14:paraId="7C07FCBB" w14:textId="77777777" w:rsidR="00F16A45" w:rsidRPr="000F1F50" w:rsidRDefault="00F16A45" w:rsidP="00481903">
            <w:pPr>
              <w:pStyle w:val="TableText"/>
              <w:spacing w:line="240" w:lineRule="auto"/>
              <w:jc w:val="right"/>
              <w:cnfStyle w:val="000000100000" w:firstRow="0" w:lastRow="0" w:firstColumn="0" w:lastColumn="0" w:oddVBand="0" w:evenVBand="0" w:oddHBand="1" w:evenHBand="0" w:firstRowFirstColumn="0" w:firstRowLastColumn="0" w:lastRowFirstColumn="0" w:lastRowLastColumn="0"/>
              <w:rPr>
                <w:sz w:val="12"/>
                <w:szCs w:val="12"/>
              </w:rPr>
            </w:pPr>
          </w:p>
        </w:tc>
        <w:tc>
          <w:tcPr>
            <w:tcW w:w="709" w:type="dxa"/>
          </w:tcPr>
          <w:p w14:paraId="59779E46" w14:textId="77777777" w:rsidR="00F16A45" w:rsidRPr="000F1F50" w:rsidRDefault="00F16A45" w:rsidP="00481903">
            <w:pPr>
              <w:pStyle w:val="TableText"/>
              <w:spacing w:line="240" w:lineRule="auto"/>
              <w:jc w:val="right"/>
              <w:cnfStyle w:val="000000100000" w:firstRow="0" w:lastRow="0" w:firstColumn="0" w:lastColumn="0" w:oddVBand="0" w:evenVBand="0" w:oddHBand="1" w:evenHBand="0" w:firstRowFirstColumn="0" w:firstRowLastColumn="0" w:lastRowFirstColumn="0" w:lastRowLastColumn="0"/>
              <w:rPr>
                <w:sz w:val="12"/>
                <w:szCs w:val="12"/>
              </w:rPr>
            </w:pPr>
          </w:p>
        </w:tc>
        <w:tc>
          <w:tcPr>
            <w:tcW w:w="548" w:type="dxa"/>
            <w:tcBorders>
              <w:right w:val="single" w:sz="4" w:space="0" w:color="auto"/>
            </w:tcBorders>
          </w:tcPr>
          <w:p w14:paraId="5CFFC582" w14:textId="77777777" w:rsidR="00F16A45" w:rsidRPr="000F1F50" w:rsidRDefault="00F16A45" w:rsidP="00481903">
            <w:pPr>
              <w:pStyle w:val="TableText"/>
              <w:spacing w:line="240" w:lineRule="auto"/>
              <w:jc w:val="right"/>
              <w:cnfStyle w:val="000000100000" w:firstRow="0" w:lastRow="0" w:firstColumn="0" w:lastColumn="0" w:oddVBand="0" w:evenVBand="0" w:oddHBand="1" w:evenHBand="0" w:firstRowFirstColumn="0" w:firstRowLastColumn="0" w:lastRowFirstColumn="0" w:lastRowLastColumn="0"/>
              <w:rPr>
                <w:sz w:val="12"/>
                <w:szCs w:val="12"/>
              </w:rPr>
            </w:pPr>
          </w:p>
        </w:tc>
        <w:tc>
          <w:tcPr>
            <w:tcW w:w="823" w:type="dxa"/>
            <w:tcBorders>
              <w:left w:val="single" w:sz="4" w:space="0" w:color="auto"/>
            </w:tcBorders>
          </w:tcPr>
          <w:p w14:paraId="5B490383" w14:textId="77777777" w:rsidR="00F16A45" w:rsidRPr="000F1F50" w:rsidRDefault="00F16A45" w:rsidP="00481903">
            <w:pPr>
              <w:pStyle w:val="TableText"/>
              <w:spacing w:line="240" w:lineRule="auto"/>
              <w:jc w:val="right"/>
              <w:cnfStyle w:val="000000100000" w:firstRow="0" w:lastRow="0" w:firstColumn="0" w:lastColumn="0" w:oddVBand="0" w:evenVBand="0" w:oddHBand="1" w:evenHBand="0" w:firstRowFirstColumn="0" w:firstRowLastColumn="0" w:lastRowFirstColumn="0" w:lastRowLastColumn="0"/>
              <w:rPr>
                <w:sz w:val="12"/>
                <w:szCs w:val="12"/>
              </w:rPr>
            </w:pPr>
          </w:p>
        </w:tc>
        <w:tc>
          <w:tcPr>
            <w:tcW w:w="851" w:type="dxa"/>
          </w:tcPr>
          <w:p w14:paraId="1B189906" w14:textId="77777777" w:rsidR="00F16A45" w:rsidRPr="000F1F50" w:rsidRDefault="00F16A45" w:rsidP="00481903">
            <w:pPr>
              <w:pStyle w:val="TableText"/>
              <w:spacing w:line="240" w:lineRule="auto"/>
              <w:jc w:val="right"/>
              <w:cnfStyle w:val="000000100000" w:firstRow="0" w:lastRow="0" w:firstColumn="0" w:lastColumn="0" w:oddVBand="0" w:evenVBand="0" w:oddHBand="1" w:evenHBand="0" w:firstRowFirstColumn="0" w:firstRowLastColumn="0" w:lastRowFirstColumn="0" w:lastRowLastColumn="0"/>
              <w:rPr>
                <w:sz w:val="12"/>
                <w:szCs w:val="12"/>
              </w:rPr>
            </w:pPr>
          </w:p>
        </w:tc>
        <w:tc>
          <w:tcPr>
            <w:tcW w:w="1276" w:type="dxa"/>
          </w:tcPr>
          <w:p w14:paraId="19B34C41" w14:textId="77777777" w:rsidR="00F16A45" w:rsidRPr="000F1F50" w:rsidRDefault="00F16A45" w:rsidP="00481903">
            <w:pPr>
              <w:pStyle w:val="TableText"/>
              <w:spacing w:line="240" w:lineRule="auto"/>
              <w:jc w:val="right"/>
              <w:cnfStyle w:val="000000100000" w:firstRow="0" w:lastRow="0" w:firstColumn="0" w:lastColumn="0" w:oddVBand="0" w:evenVBand="0" w:oddHBand="1" w:evenHBand="0" w:firstRowFirstColumn="0" w:firstRowLastColumn="0" w:lastRowFirstColumn="0" w:lastRowLastColumn="0"/>
              <w:rPr>
                <w:sz w:val="12"/>
                <w:szCs w:val="12"/>
              </w:rPr>
            </w:pPr>
          </w:p>
        </w:tc>
        <w:tc>
          <w:tcPr>
            <w:tcW w:w="1038" w:type="dxa"/>
          </w:tcPr>
          <w:p w14:paraId="0E81219F" w14:textId="77777777" w:rsidR="00F16A45" w:rsidRPr="000F1F50" w:rsidRDefault="00F16A45" w:rsidP="00481903">
            <w:pPr>
              <w:pStyle w:val="TableText"/>
              <w:spacing w:line="240" w:lineRule="auto"/>
              <w:jc w:val="right"/>
              <w:cnfStyle w:val="000000100000" w:firstRow="0" w:lastRow="0" w:firstColumn="0" w:lastColumn="0" w:oddVBand="0" w:evenVBand="0" w:oddHBand="1" w:evenHBand="0" w:firstRowFirstColumn="0" w:firstRowLastColumn="0" w:lastRowFirstColumn="0" w:lastRowLastColumn="0"/>
              <w:rPr>
                <w:sz w:val="12"/>
                <w:szCs w:val="12"/>
              </w:rPr>
            </w:pPr>
          </w:p>
        </w:tc>
      </w:tr>
      <w:tr w:rsidR="0088420A" w:rsidRPr="000F1F50" w14:paraId="32C54469" w14:textId="77777777" w:rsidTr="0088420A">
        <w:tc>
          <w:tcPr>
            <w:cnfStyle w:val="001000000000" w:firstRow="0" w:lastRow="0" w:firstColumn="1" w:lastColumn="0" w:oddVBand="0" w:evenVBand="0" w:oddHBand="0" w:evenHBand="0" w:firstRowFirstColumn="0" w:firstRowLastColumn="0" w:lastRowFirstColumn="0" w:lastRowLastColumn="0"/>
            <w:tcW w:w="237" w:type="dxa"/>
          </w:tcPr>
          <w:p w14:paraId="0690A9E0" w14:textId="77777777" w:rsidR="00F16A45" w:rsidRPr="000F1F50" w:rsidRDefault="00F16A45" w:rsidP="00F16A45">
            <w:pPr>
              <w:pStyle w:val="TableText"/>
              <w:spacing w:line="240" w:lineRule="auto"/>
              <w:rPr>
                <w:sz w:val="12"/>
                <w:szCs w:val="12"/>
              </w:rPr>
            </w:pPr>
          </w:p>
        </w:tc>
        <w:tc>
          <w:tcPr>
            <w:tcW w:w="756" w:type="dxa"/>
            <w:tcBorders>
              <w:right w:val="single" w:sz="4" w:space="0" w:color="auto"/>
            </w:tcBorders>
          </w:tcPr>
          <w:p w14:paraId="76D1BA42" w14:textId="1D17BFC7" w:rsidR="00F16A45" w:rsidRPr="000F1F50" w:rsidRDefault="00F16A45" w:rsidP="00F16A45">
            <w:pPr>
              <w:pStyle w:val="TableText"/>
              <w:spacing w:line="240" w:lineRule="auto"/>
              <w:cnfStyle w:val="000000000000" w:firstRow="0" w:lastRow="0" w:firstColumn="0" w:lastColumn="0" w:oddVBand="0" w:evenVBand="0" w:oddHBand="0" w:evenHBand="0" w:firstRowFirstColumn="0" w:firstRowLastColumn="0" w:lastRowFirstColumn="0" w:lastRowLastColumn="0"/>
              <w:rPr>
                <w:sz w:val="12"/>
                <w:szCs w:val="12"/>
              </w:rPr>
            </w:pPr>
            <w:r w:rsidRPr="000F1F50">
              <w:rPr>
                <w:sz w:val="12"/>
                <w:szCs w:val="12"/>
              </w:rPr>
              <w:t>9/2/</w:t>
            </w:r>
            <w:r w:rsidR="00DE4991" w:rsidRPr="000F1F50">
              <w:rPr>
                <w:sz w:val="12"/>
                <w:szCs w:val="12"/>
              </w:rPr>
              <w:t>20</w:t>
            </w:r>
            <w:r w:rsidR="00DE4991">
              <w:rPr>
                <w:sz w:val="12"/>
                <w:szCs w:val="12"/>
              </w:rPr>
              <w:t>22</w:t>
            </w:r>
          </w:p>
        </w:tc>
        <w:tc>
          <w:tcPr>
            <w:tcW w:w="755" w:type="dxa"/>
            <w:tcBorders>
              <w:left w:val="single" w:sz="4" w:space="0" w:color="auto"/>
            </w:tcBorders>
          </w:tcPr>
          <w:p w14:paraId="66E3658B" w14:textId="77777777" w:rsidR="00F16A45" w:rsidRPr="000F1F50" w:rsidRDefault="00F16A45" w:rsidP="00481903">
            <w:pPr>
              <w:pStyle w:val="TableText"/>
              <w:spacing w:line="240" w:lineRule="auto"/>
              <w:jc w:val="right"/>
              <w:cnfStyle w:val="000000000000" w:firstRow="0" w:lastRow="0" w:firstColumn="0" w:lastColumn="0" w:oddVBand="0" w:evenVBand="0" w:oddHBand="0" w:evenHBand="0" w:firstRowFirstColumn="0" w:firstRowLastColumn="0" w:lastRowFirstColumn="0" w:lastRowLastColumn="0"/>
              <w:rPr>
                <w:sz w:val="12"/>
                <w:szCs w:val="12"/>
              </w:rPr>
            </w:pPr>
          </w:p>
        </w:tc>
        <w:tc>
          <w:tcPr>
            <w:tcW w:w="425" w:type="dxa"/>
          </w:tcPr>
          <w:p w14:paraId="3CBB712B" w14:textId="77777777" w:rsidR="00F16A45" w:rsidRPr="000F1F50" w:rsidRDefault="00F16A45" w:rsidP="00481903">
            <w:pPr>
              <w:pStyle w:val="TableText"/>
              <w:spacing w:line="240" w:lineRule="auto"/>
              <w:jc w:val="right"/>
              <w:cnfStyle w:val="000000000000" w:firstRow="0" w:lastRow="0" w:firstColumn="0" w:lastColumn="0" w:oddVBand="0" w:evenVBand="0" w:oddHBand="0" w:evenHBand="0" w:firstRowFirstColumn="0" w:firstRowLastColumn="0" w:lastRowFirstColumn="0" w:lastRowLastColumn="0"/>
              <w:rPr>
                <w:sz w:val="12"/>
                <w:szCs w:val="12"/>
              </w:rPr>
            </w:pPr>
          </w:p>
        </w:tc>
        <w:tc>
          <w:tcPr>
            <w:tcW w:w="709" w:type="dxa"/>
          </w:tcPr>
          <w:p w14:paraId="7DF15922" w14:textId="77777777" w:rsidR="00F16A45" w:rsidRPr="000F1F50" w:rsidRDefault="00F16A45" w:rsidP="00481903">
            <w:pPr>
              <w:pStyle w:val="TableText"/>
              <w:spacing w:line="240" w:lineRule="auto"/>
              <w:jc w:val="right"/>
              <w:cnfStyle w:val="000000000000" w:firstRow="0" w:lastRow="0" w:firstColumn="0" w:lastColumn="0" w:oddVBand="0" w:evenVBand="0" w:oddHBand="0" w:evenHBand="0" w:firstRowFirstColumn="0" w:firstRowLastColumn="0" w:lastRowFirstColumn="0" w:lastRowLastColumn="0"/>
              <w:rPr>
                <w:sz w:val="12"/>
                <w:szCs w:val="12"/>
              </w:rPr>
            </w:pPr>
          </w:p>
        </w:tc>
        <w:tc>
          <w:tcPr>
            <w:tcW w:w="425" w:type="dxa"/>
          </w:tcPr>
          <w:p w14:paraId="2EF55760" w14:textId="77777777" w:rsidR="00F16A45" w:rsidRPr="000F1F50" w:rsidRDefault="00F16A45" w:rsidP="00481903">
            <w:pPr>
              <w:pStyle w:val="TableText"/>
              <w:spacing w:line="240" w:lineRule="auto"/>
              <w:jc w:val="right"/>
              <w:cnfStyle w:val="000000000000" w:firstRow="0" w:lastRow="0" w:firstColumn="0" w:lastColumn="0" w:oddVBand="0" w:evenVBand="0" w:oddHBand="0" w:evenHBand="0" w:firstRowFirstColumn="0" w:firstRowLastColumn="0" w:lastRowFirstColumn="0" w:lastRowLastColumn="0"/>
              <w:rPr>
                <w:sz w:val="12"/>
                <w:szCs w:val="12"/>
              </w:rPr>
            </w:pPr>
          </w:p>
        </w:tc>
        <w:tc>
          <w:tcPr>
            <w:tcW w:w="709" w:type="dxa"/>
          </w:tcPr>
          <w:p w14:paraId="1525D89E" w14:textId="77777777" w:rsidR="00F16A45" w:rsidRPr="000F1F50" w:rsidRDefault="00F16A45" w:rsidP="00481903">
            <w:pPr>
              <w:pStyle w:val="TableText"/>
              <w:spacing w:line="240" w:lineRule="auto"/>
              <w:jc w:val="right"/>
              <w:cnfStyle w:val="000000000000" w:firstRow="0" w:lastRow="0" w:firstColumn="0" w:lastColumn="0" w:oddVBand="0" w:evenVBand="0" w:oddHBand="0" w:evenHBand="0" w:firstRowFirstColumn="0" w:firstRowLastColumn="0" w:lastRowFirstColumn="0" w:lastRowLastColumn="0"/>
              <w:rPr>
                <w:sz w:val="12"/>
                <w:szCs w:val="12"/>
              </w:rPr>
            </w:pPr>
          </w:p>
        </w:tc>
        <w:tc>
          <w:tcPr>
            <w:tcW w:w="567" w:type="dxa"/>
          </w:tcPr>
          <w:p w14:paraId="67F3D799" w14:textId="77777777" w:rsidR="00F16A45" w:rsidRPr="000F1F50" w:rsidRDefault="00F16A45" w:rsidP="00481903">
            <w:pPr>
              <w:pStyle w:val="TableText"/>
              <w:spacing w:line="240" w:lineRule="auto"/>
              <w:jc w:val="right"/>
              <w:cnfStyle w:val="000000000000" w:firstRow="0" w:lastRow="0" w:firstColumn="0" w:lastColumn="0" w:oddVBand="0" w:evenVBand="0" w:oddHBand="0" w:evenHBand="0" w:firstRowFirstColumn="0" w:firstRowLastColumn="0" w:lastRowFirstColumn="0" w:lastRowLastColumn="0"/>
              <w:rPr>
                <w:sz w:val="12"/>
                <w:szCs w:val="12"/>
              </w:rPr>
            </w:pPr>
          </w:p>
        </w:tc>
        <w:tc>
          <w:tcPr>
            <w:tcW w:w="709" w:type="dxa"/>
          </w:tcPr>
          <w:p w14:paraId="10A2FD40" w14:textId="77777777" w:rsidR="00F16A45" w:rsidRPr="000F1F50" w:rsidRDefault="00F16A45" w:rsidP="00481903">
            <w:pPr>
              <w:pStyle w:val="TableText"/>
              <w:spacing w:line="240" w:lineRule="auto"/>
              <w:jc w:val="right"/>
              <w:cnfStyle w:val="000000000000" w:firstRow="0" w:lastRow="0" w:firstColumn="0" w:lastColumn="0" w:oddVBand="0" w:evenVBand="0" w:oddHBand="0" w:evenHBand="0" w:firstRowFirstColumn="0" w:firstRowLastColumn="0" w:lastRowFirstColumn="0" w:lastRowLastColumn="0"/>
              <w:rPr>
                <w:sz w:val="12"/>
                <w:szCs w:val="12"/>
              </w:rPr>
            </w:pPr>
          </w:p>
        </w:tc>
        <w:tc>
          <w:tcPr>
            <w:tcW w:w="567" w:type="dxa"/>
            <w:tcBorders>
              <w:right w:val="single" w:sz="4" w:space="0" w:color="auto"/>
            </w:tcBorders>
          </w:tcPr>
          <w:p w14:paraId="57DA2C9B" w14:textId="77777777" w:rsidR="00F16A45" w:rsidRPr="000F1F50" w:rsidRDefault="00F16A45" w:rsidP="00481903">
            <w:pPr>
              <w:pStyle w:val="TableText"/>
              <w:spacing w:line="240" w:lineRule="auto"/>
              <w:jc w:val="right"/>
              <w:cnfStyle w:val="000000000000" w:firstRow="0" w:lastRow="0" w:firstColumn="0" w:lastColumn="0" w:oddVBand="0" w:evenVBand="0" w:oddHBand="0" w:evenHBand="0" w:firstRowFirstColumn="0" w:firstRowLastColumn="0" w:lastRowFirstColumn="0" w:lastRowLastColumn="0"/>
              <w:rPr>
                <w:sz w:val="12"/>
                <w:szCs w:val="12"/>
              </w:rPr>
            </w:pPr>
          </w:p>
        </w:tc>
        <w:tc>
          <w:tcPr>
            <w:tcW w:w="662" w:type="dxa"/>
            <w:tcBorders>
              <w:left w:val="single" w:sz="4" w:space="0" w:color="auto"/>
            </w:tcBorders>
          </w:tcPr>
          <w:p w14:paraId="67EE2487" w14:textId="77777777" w:rsidR="00F16A45" w:rsidRPr="000F1F50" w:rsidRDefault="00F16A45" w:rsidP="00481903">
            <w:pPr>
              <w:pStyle w:val="TableText"/>
              <w:spacing w:line="240" w:lineRule="auto"/>
              <w:jc w:val="right"/>
              <w:cnfStyle w:val="000000000000" w:firstRow="0" w:lastRow="0" w:firstColumn="0" w:lastColumn="0" w:oddVBand="0" w:evenVBand="0" w:oddHBand="0" w:evenHBand="0" w:firstRowFirstColumn="0" w:firstRowLastColumn="0" w:lastRowFirstColumn="0" w:lastRowLastColumn="0"/>
              <w:rPr>
                <w:sz w:val="12"/>
                <w:szCs w:val="12"/>
              </w:rPr>
            </w:pPr>
          </w:p>
        </w:tc>
        <w:tc>
          <w:tcPr>
            <w:tcW w:w="425" w:type="dxa"/>
          </w:tcPr>
          <w:p w14:paraId="35FC304D" w14:textId="77777777" w:rsidR="00F16A45" w:rsidRPr="000F1F50" w:rsidRDefault="00F16A45" w:rsidP="00481903">
            <w:pPr>
              <w:pStyle w:val="TableText"/>
              <w:spacing w:line="240" w:lineRule="auto"/>
              <w:jc w:val="right"/>
              <w:cnfStyle w:val="000000000000" w:firstRow="0" w:lastRow="0" w:firstColumn="0" w:lastColumn="0" w:oddVBand="0" w:evenVBand="0" w:oddHBand="0" w:evenHBand="0" w:firstRowFirstColumn="0" w:firstRowLastColumn="0" w:lastRowFirstColumn="0" w:lastRowLastColumn="0"/>
              <w:rPr>
                <w:sz w:val="12"/>
                <w:szCs w:val="12"/>
              </w:rPr>
            </w:pPr>
          </w:p>
        </w:tc>
        <w:tc>
          <w:tcPr>
            <w:tcW w:w="755" w:type="dxa"/>
          </w:tcPr>
          <w:p w14:paraId="26D5CAF9" w14:textId="77777777" w:rsidR="00F16A45" w:rsidRPr="000F1F50" w:rsidRDefault="00F16A45" w:rsidP="00481903">
            <w:pPr>
              <w:pStyle w:val="TableText"/>
              <w:spacing w:line="240" w:lineRule="auto"/>
              <w:jc w:val="right"/>
              <w:cnfStyle w:val="000000000000" w:firstRow="0" w:lastRow="0" w:firstColumn="0" w:lastColumn="0" w:oddVBand="0" w:evenVBand="0" w:oddHBand="0" w:evenHBand="0" w:firstRowFirstColumn="0" w:firstRowLastColumn="0" w:lastRowFirstColumn="0" w:lastRowLastColumn="0"/>
              <w:rPr>
                <w:sz w:val="12"/>
                <w:szCs w:val="12"/>
              </w:rPr>
            </w:pPr>
          </w:p>
        </w:tc>
        <w:tc>
          <w:tcPr>
            <w:tcW w:w="425" w:type="dxa"/>
          </w:tcPr>
          <w:p w14:paraId="72D8737E" w14:textId="77777777" w:rsidR="00F16A45" w:rsidRPr="000F1F50" w:rsidRDefault="00F16A45" w:rsidP="00481903">
            <w:pPr>
              <w:pStyle w:val="TableText"/>
              <w:spacing w:line="240" w:lineRule="auto"/>
              <w:jc w:val="right"/>
              <w:cnfStyle w:val="000000000000" w:firstRow="0" w:lastRow="0" w:firstColumn="0" w:lastColumn="0" w:oddVBand="0" w:evenVBand="0" w:oddHBand="0" w:evenHBand="0" w:firstRowFirstColumn="0" w:firstRowLastColumn="0" w:lastRowFirstColumn="0" w:lastRowLastColumn="0"/>
              <w:rPr>
                <w:sz w:val="12"/>
                <w:szCs w:val="12"/>
              </w:rPr>
            </w:pPr>
          </w:p>
        </w:tc>
        <w:tc>
          <w:tcPr>
            <w:tcW w:w="709" w:type="dxa"/>
          </w:tcPr>
          <w:p w14:paraId="74D39C16" w14:textId="77777777" w:rsidR="00F16A45" w:rsidRPr="000F1F50" w:rsidRDefault="00F16A45" w:rsidP="00481903">
            <w:pPr>
              <w:pStyle w:val="TableText"/>
              <w:spacing w:line="240" w:lineRule="auto"/>
              <w:jc w:val="right"/>
              <w:cnfStyle w:val="000000000000" w:firstRow="0" w:lastRow="0" w:firstColumn="0" w:lastColumn="0" w:oddVBand="0" w:evenVBand="0" w:oddHBand="0" w:evenHBand="0" w:firstRowFirstColumn="0" w:firstRowLastColumn="0" w:lastRowFirstColumn="0" w:lastRowLastColumn="0"/>
              <w:rPr>
                <w:sz w:val="12"/>
                <w:szCs w:val="12"/>
              </w:rPr>
            </w:pPr>
          </w:p>
        </w:tc>
        <w:tc>
          <w:tcPr>
            <w:tcW w:w="567" w:type="dxa"/>
          </w:tcPr>
          <w:p w14:paraId="7517E6CF" w14:textId="77777777" w:rsidR="00F16A45" w:rsidRPr="000F1F50" w:rsidRDefault="00F16A45" w:rsidP="00481903">
            <w:pPr>
              <w:pStyle w:val="TableText"/>
              <w:spacing w:line="240" w:lineRule="auto"/>
              <w:jc w:val="right"/>
              <w:cnfStyle w:val="000000000000" w:firstRow="0" w:lastRow="0" w:firstColumn="0" w:lastColumn="0" w:oddVBand="0" w:evenVBand="0" w:oddHBand="0" w:evenHBand="0" w:firstRowFirstColumn="0" w:firstRowLastColumn="0" w:lastRowFirstColumn="0" w:lastRowLastColumn="0"/>
              <w:rPr>
                <w:sz w:val="12"/>
                <w:szCs w:val="12"/>
              </w:rPr>
            </w:pPr>
          </w:p>
        </w:tc>
        <w:tc>
          <w:tcPr>
            <w:tcW w:w="709" w:type="dxa"/>
          </w:tcPr>
          <w:p w14:paraId="30FE85EA" w14:textId="77777777" w:rsidR="00F16A45" w:rsidRPr="000F1F50" w:rsidRDefault="00F16A45" w:rsidP="00481903">
            <w:pPr>
              <w:pStyle w:val="TableText"/>
              <w:spacing w:line="240" w:lineRule="auto"/>
              <w:jc w:val="right"/>
              <w:cnfStyle w:val="000000000000" w:firstRow="0" w:lastRow="0" w:firstColumn="0" w:lastColumn="0" w:oddVBand="0" w:evenVBand="0" w:oddHBand="0" w:evenHBand="0" w:firstRowFirstColumn="0" w:firstRowLastColumn="0" w:lastRowFirstColumn="0" w:lastRowLastColumn="0"/>
              <w:rPr>
                <w:sz w:val="12"/>
                <w:szCs w:val="12"/>
              </w:rPr>
            </w:pPr>
          </w:p>
        </w:tc>
        <w:tc>
          <w:tcPr>
            <w:tcW w:w="548" w:type="dxa"/>
            <w:tcBorders>
              <w:right w:val="single" w:sz="4" w:space="0" w:color="auto"/>
            </w:tcBorders>
          </w:tcPr>
          <w:p w14:paraId="2F643F72" w14:textId="77777777" w:rsidR="00F16A45" w:rsidRPr="000F1F50" w:rsidRDefault="00F16A45" w:rsidP="00481903">
            <w:pPr>
              <w:pStyle w:val="TableText"/>
              <w:spacing w:line="240" w:lineRule="auto"/>
              <w:jc w:val="right"/>
              <w:cnfStyle w:val="000000000000" w:firstRow="0" w:lastRow="0" w:firstColumn="0" w:lastColumn="0" w:oddVBand="0" w:evenVBand="0" w:oddHBand="0" w:evenHBand="0" w:firstRowFirstColumn="0" w:firstRowLastColumn="0" w:lastRowFirstColumn="0" w:lastRowLastColumn="0"/>
              <w:rPr>
                <w:sz w:val="12"/>
                <w:szCs w:val="12"/>
              </w:rPr>
            </w:pPr>
          </w:p>
        </w:tc>
        <w:tc>
          <w:tcPr>
            <w:tcW w:w="823" w:type="dxa"/>
            <w:tcBorders>
              <w:left w:val="single" w:sz="4" w:space="0" w:color="auto"/>
            </w:tcBorders>
          </w:tcPr>
          <w:p w14:paraId="33E2BF4C" w14:textId="77777777" w:rsidR="00F16A45" w:rsidRPr="000F1F50" w:rsidRDefault="00F16A45" w:rsidP="00481903">
            <w:pPr>
              <w:pStyle w:val="TableText"/>
              <w:spacing w:line="240" w:lineRule="auto"/>
              <w:jc w:val="right"/>
              <w:cnfStyle w:val="000000000000" w:firstRow="0" w:lastRow="0" w:firstColumn="0" w:lastColumn="0" w:oddVBand="0" w:evenVBand="0" w:oddHBand="0" w:evenHBand="0" w:firstRowFirstColumn="0" w:firstRowLastColumn="0" w:lastRowFirstColumn="0" w:lastRowLastColumn="0"/>
              <w:rPr>
                <w:sz w:val="12"/>
                <w:szCs w:val="12"/>
              </w:rPr>
            </w:pPr>
          </w:p>
        </w:tc>
        <w:tc>
          <w:tcPr>
            <w:tcW w:w="851" w:type="dxa"/>
          </w:tcPr>
          <w:p w14:paraId="1CD19A02" w14:textId="77777777" w:rsidR="00F16A45" w:rsidRPr="000F1F50" w:rsidRDefault="00F16A45" w:rsidP="00481903">
            <w:pPr>
              <w:pStyle w:val="TableText"/>
              <w:spacing w:line="240" w:lineRule="auto"/>
              <w:jc w:val="right"/>
              <w:cnfStyle w:val="000000000000" w:firstRow="0" w:lastRow="0" w:firstColumn="0" w:lastColumn="0" w:oddVBand="0" w:evenVBand="0" w:oddHBand="0" w:evenHBand="0" w:firstRowFirstColumn="0" w:firstRowLastColumn="0" w:lastRowFirstColumn="0" w:lastRowLastColumn="0"/>
              <w:rPr>
                <w:sz w:val="12"/>
                <w:szCs w:val="12"/>
              </w:rPr>
            </w:pPr>
          </w:p>
        </w:tc>
        <w:tc>
          <w:tcPr>
            <w:tcW w:w="1276" w:type="dxa"/>
          </w:tcPr>
          <w:p w14:paraId="300DF893" w14:textId="77777777" w:rsidR="00F16A45" w:rsidRPr="000F1F50" w:rsidRDefault="00F16A45" w:rsidP="00481903">
            <w:pPr>
              <w:pStyle w:val="TableText"/>
              <w:spacing w:line="240" w:lineRule="auto"/>
              <w:jc w:val="right"/>
              <w:cnfStyle w:val="000000000000" w:firstRow="0" w:lastRow="0" w:firstColumn="0" w:lastColumn="0" w:oddVBand="0" w:evenVBand="0" w:oddHBand="0" w:evenHBand="0" w:firstRowFirstColumn="0" w:firstRowLastColumn="0" w:lastRowFirstColumn="0" w:lastRowLastColumn="0"/>
              <w:rPr>
                <w:sz w:val="12"/>
                <w:szCs w:val="12"/>
              </w:rPr>
            </w:pPr>
          </w:p>
        </w:tc>
        <w:tc>
          <w:tcPr>
            <w:tcW w:w="1038" w:type="dxa"/>
          </w:tcPr>
          <w:p w14:paraId="2305DB92" w14:textId="77777777" w:rsidR="00F16A45" w:rsidRPr="000F1F50" w:rsidRDefault="00F16A45" w:rsidP="00481903">
            <w:pPr>
              <w:pStyle w:val="TableText"/>
              <w:spacing w:line="240" w:lineRule="auto"/>
              <w:jc w:val="right"/>
              <w:cnfStyle w:val="000000000000" w:firstRow="0" w:lastRow="0" w:firstColumn="0" w:lastColumn="0" w:oddVBand="0" w:evenVBand="0" w:oddHBand="0" w:evenHBand="0" w:firstRowFirstColumn="0" w:firstRowLastColumn="0" w:lastRowFirstColumn="0" w:lastRowLastColumn="0"/>
              <w:rPr>
                <w:sz w:val="12"/>
                <w:szCs w:val="12"/>
              </w:rPr>
            </w:pPr>
          </w:p>
        </w:tc>
      </w:tr>
      <w:tr w:rsidR="0088420A" w:rsidRPr="000F1F50" w14:paraId="2681DDB5" w14:textId="77777777" w:rsidTr="008842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 w:type="dxa"/>
          </w:tcPr>
          <w:p w14:paraId="23ADE1B3" w14:textId="77777777" w:rsidR="00F16A45" w:rsidRPr="000F1F50" w:rsidRDefault="00F16A45" w:rsidP="00F16A45">
            <w:pPr>
              <w:pStyle w:val="TableText"/>
              <w:spacing w:line="240" w:lineRule="auto"/>
              <w:rPr>
                <w:sz w:val="12"/>
                <w:szCs w:val="12"/>
              </w:rPr>
            </w:pPr>
          </w:p>
        </w:tc>
        <w:tc>
          <w:tcPr>
            <w:tcW w:w="756" w:type="dxa"/>
            <w:tcBorders>
              <w:right w:val="single" w:sz="4" w:space="0" w:color="auto"/>
            </w:tcBorders>
          </w:tcPr>
          <w:p w14:paraId="60B85C87" w14:textId="3FF4C973" w:rsidR="00F16A45" w:rsidRPr="000F1F50" w:rsidRDefault="00F16A45" w:rsidP="00F16A45">
            <w:pPr>
              <w:pStyle w:val="TableText"/>
              <w:spacing w:line="240" w:lineRule="auto"/>
              <w:cnfStyle w:val="000000100000" w:firstRow="0" w:lastRow="0" w:firstColumn="0" w:lastColumn="0" w:oddVBand="0" w:evenVBand="0" w:oddHBand="1" w:evenHBand="0" w:firstRowFirstColumn="0" w:firstRowLastColumn="0" w:lastRowFirstColumn="0" w:lastRowLastColumn="0"/>
              <w:rPr>
                <w:sz w:val="12"/>
                <w:szCs w:val="12"/>
              </w:rPr>
            </w:pPr>
            <w:r w:rsidRPr="000F1F50">
              <w:rPr>
                <w:sz w:val="12"/>
                <w:szCs w:val="12"/>
              </w:rPr>
              <w:t>10/2/</w:t>
            </w:r>
            <w:r w:rsidR="00DE4991" w:rsidRPr="000F1F50">
              <w:rPr>
                <w:sz w:val="12"/>
                <w:szCs w:val="12"/>
              </w:rPr>
              <w:t>20</w:t>
            </w:r>
            <w:r w:rsidR="00DE4991">
              <w:rPr>
                <w:sz w:val="12"/>
                <w:szCs w:val="12"/>
              </w:rPr>
              <w:t>22</w:t>
            </w:r>
          </w:p>
        </w:tc>
        <w:tc>
          <w:tcPr>
            <w:tcW w:w="755" w:type="dxa"/>
            <w:tcBorders>
              <w:left w:val="single" w:sz="4" w:space="0" w:color="auto"/>
            </w:tcBorders>
          </w:tcPr>
          <w:p w14:paraId="1BC29258" w14:textId="77777777" w:rsidR="00F16A45" w:rsidRPr="000F1F50" w:rsidRDefault="00F16A45" w:rsidP="00481903">
            <w:pPr>
              <w:pStyle w:val="TableText"/>
              <w:spacing w:line="240" w:lineRule="auto"/>
              <w:jc w:val="right"/>
              <w:cnfStyle w:val="000000100000" w:firstRow="0" w:lastRow="0" w:firstColumn="0" w:lastColumn="0" w:oddVBand="0" w:evenVBand="0" w:oddHBand="1" w:evenHBand="0" w:firstRowFirstColumn="0" w:firstRowLastColumn="0" w:lastRowFirstColumn="0" w:lastRowLastColumn="0"/>
              <w:rPr>
                <w:sz w:val="12"/>
                <w:szCs w:val="12"/>
              </w:rPr>
            </w:pPr>
          </w:p>
        </w:tc>
        <w:tc>
          <w:tcPr>
            <w:tcW w:w="425" w:type="dxa"/>
          </w:tcPr>
          <w:p w14:paraId="1274F1A5" w14:textId="77777777" w:rsidR="00F16A45" w:rsidRPr="000F1F50" w:rsidRDefault="00F16A45" w:rsidP="00481903">
            <w:pPr>
              <w:pStyle w:val="TableText"/>
              <w:spacing w:line="240" w:lineRule="auto"/>
              <w:jc w:val="right"/>
              <w:cnfStyle w:val="000000100000" w:firstRow="0" w:lastRow="0" w:firstColumn="0" w:lastColumn="0" w:oddVBand="0" w:evenVBand="0" w:oddHBand="1" w:evenHBand="0" w:firstRowFirstColumn="0" w:firstRowLastColumn="0" w:lastRowFirstColumn="0" w:lastRowLastColumn="0"/>
              <w:rPr>
                <w:sz w:val="12"/>
                <w:szCs w:val="12"/>
              </w:rPr>
            </w:pPr>
          </w:p>
        </w:tc>
        <w:tc>
          <w:tcPr>
            <w:tcW w:w="709" w:type="dxa"/>
          </w:tcPr>
          <w:p w14:paraId="2B66F8D8" w14:textId="77777777" w:rsidR="00F16A45" w:rsidRPr="000F1F50" w:rsidRDefault="00F16A45" w:rsidP="00481903">
            <w:pPr>
              <w:pStyle w:val="TableText"/>
              <w:spacing w:line="240" w:lineRule="auto"/>
              <w:jc w:val="right"/>
              <w:cnfStyle w:val="000000100000" w:firstRow="0" w:lastRow="0" w:firstColumn="0" w:lastColumn="0" w:oddVBand="0" w:evenVBand="0" w:oddHBand="1" w:evenHBand="0" w:firstRowFirstColumn="0" w:firstRowLastColumn="0" w:lastRowFirstColumn="0" w:lastRowLastColumn="0"/>
              <w:rPr>
                <w:sz w:val="12"/>
                <w:szCs w:val="12"/>
              </w:rPr>
            </w:pPr>
          </w:p>
        </w:tc>
        <w:tc>
          <w:tcPr>
            <w:tcW w:w="425" w:type="dxa"/>
          </w:tcPr>
          <w:p w14:paraId="28654F43" w14:textId="77777777" w:rsidR="00F16A45" w:rsidRPr="000F1F50" w:rsidRDefault="00F16A45" w:rsidP="00481903">
            <w:pPr>
              <w:pStyle w:val="TableText"/>
              <w:spacing w:line="240" w:lineRule="auto"/>
              <w:jc w:val="right"/>
              <w:cnfStyle w:val="000000100000" w:firstRow="0" w:lastRow="0" w:firstColumn="0" w:lastColumn="0" w:oddVBand="0" w:evenVBand="0" w:oddHBand="1" w:evenHBand="0" w:firstRowFirstColumn="0" w:firstRowLastColumn="0" w:lastRowFirstColumn="0" w:lastRowLastColumn="0"/>
              <w:rPr>
                <w:sz w:val="12"/>
                <w:szCs w:val="12"/>
              </w:rPr>
            </w:pPr>
          </w:p>
        </w:tc>
        <w:tc>
          <w:tcPr>
            <w:tcW w:w="709" w:type="dxa"/>
          </w:tcPr>
          <w:p w14:paraId="519E7A2E" w14:textId="77777777" w:rsidR="00F16A45" w:rsidRPr="000F1F50" w:rsidRDefault="00F16A45" w:rsidP="00481903">
            <w:pPr>
              <w:pStyle w:val="TableText"/>
              <w:spacing w:line="240" w:lineRule="auto"/>
              <w:jc w:val="right"/>
              <w:cnfStyle w:val="000000100000" w:firstRow="0" w:lastRow="0" w:firstColumn="0" w:lastColumn="0" w:oddVBand="0" w:evenVBand="0" w:oddHBand="1" w:evenHBand="0" w:firstRowFirstColumn="0" w:firstRowLastColumn="0" w:lastRowFirstColumn="0" w:lastRowLastColumn="0"/>
              <w:rPr>
                <w:sz w:val="12"/>
                <w:szCs w:val="12"/>
              </w:rPr>
            </w:pPr>
          </w:p>
        </w:tc>
        <w:tc>
          <w:tcPr>
            <w:tcW w:w="567" w:type="dxa"/>
          </w:tcPr>
          <w:p w14:paraId="47C2236F" w14:textId="77777777" w:rsidR="00F16A45" w:rsidRPr="000F1F50" w:rsidRDefault="00F16A45" w:rsidP="00481903">
            <w:pPr>
              <w:pStyle w:val="TableText"/>
              <w:spacing w:line="240" w:lineRule="auto"/>
              <w:jc w:val="right"/>
              <w:cnfStyle w:val="000000100000" w:firstRow="0" w:lastRow="0" w:firstColumn="0" w:lastColumn="0" w:oddVBand="0" w:evenVBand="0" w:oddHBand="1" w:evenHBand="0" w:firstRowFirstColumn="0" w:firstRowLastColumn="0" w:lastRowFirstColumn="0" w:lastRowLastColumn="0"/>
              <w:rPr>
                <w:sz w:val="12"/>
                <w:szCs w:val="12"/>
              </w:rPr>
            </w:pPr>
          </w:p>
        </w:tc>
        <w:tc>
          <w:tcPr>
            <w:tcW w:w="709" w:type="dxa"/>
          </w:tcPr>
          <w:p w14:paraId="7DD6224D" w14:textId="77777777" w:rsidR="00F16A45" w:rsidRPr="000F1F50" w:rsidRDefault="00F16A45" w:rsidP="00481903">
            <w:pPr>
              <w:pStyle w:val="TableText"/>
              <w:spacing w:line="240" w:lineRule="auto"/>
              <w:jc w:val="right"/>
              <w:cnfStyle w:val="000000100000" w:firstRow="0" w:lastRow="0" w:firstColumn="0" w:lastColumn="0" w:oddVBand="0" w:evenVBand="0" w:oddHBand="1" w:evenHBand="0" w:firstRowFirstColumn="0" w:firstRowLastColumn="0" w:lastRowFirstColumn="0" w:lastRowLastColumn="0"/>
              <w:rPr>
                <w:sz w:val="12"/>
                <w:szCs w:val="12"/>
              </w:rPr>
            </w:pPr>
          </w:p>
        </w:tc>
        <w:tc>
          <w:tcPr>
            <w:tcW w:w="567" w:type="dxa"/>
            <w:tcBorders>
              <w:right w:val="single" w:sz="4" w:space="0" w:color="auto"/>
            </w:tcBorders>
          </w:tcPr>
          <w:p w14:paraId="1AEEE108" w14:textId="77777777" w:rsidR="00F16A45" w:rsidRPr="000F1F50" w:rsidRDefault="00F16A45" w:rsidP="00481903">
            <w:pPr>
              <w:pStyle w:val="TableText"/>
              <w:spacing w:line="240" w:lineRule="auto"/>
              <w:jc w:val="right"/>
              <w:cnfStyle w:val="000000100000" w:firstRow="0" w:lastRow="0" w:firstColumn="0" w:lastColumn="0" w:oddVBand="0" w:evenVBand="0" w:oddHBand="1" w:evenHBand="0" w:firstRowFirstColumn="0" w:firstRowLastColumn="0" w:lastRowFirstColumn="0" w:lastRowLastColumn="0"/>
              <w:rPr>
                <w:sz w:val="12"/>
                <w:szCs w:val="12"/>
              </w:rPr>
            </w:pPr>
          </w:p>
        </w:tc>
        <w:tc>
          <w:tcPr>
            <w:tcW w:w="662" w:type="dxa"/>
            <w:tcBorders>
              <w:left w:val="single" w:sz="4" w:space="0" w:color="auto"/>
            </w:tcBorders>
          </w:tcPr>
          <w:p w14:paraId="593BA986" w14:textId="77777777" w:rsidR="00F16A45" w:rsidRPr="000F1F50" w:rsidRDefault="00F16A45" w:rsidP="00481903">
            <w:pPr>
              <w:pStyle w:val="TableText"/>
              <w:spacing w:line="240" w:lineRule="auto"/>
              <w:jc w:val="right"/>
              <w:cnfStyle w:val="000000100000" w:firstRow="0" w:lastRow="0" w:firstColumn="0" w:lastColumn="0" w:oddVBand="0" w:evenVBand="0" w:oddHBand="1" w:evenHBand="0" w:firstRowFirstColumn="0" w:firstRowLastColumn="0" w:lastRowFirstColumn="0" w:lastRowLastColumn="0"/>
              <w:rPr>
                <w:sz w:val="12"/>
                <w:szCs w:val="12"/>
              </w:rPr>
            </w:pPr>
          </w:p>
        </w:tc>
        <w:tc>
          <w:tcPr>
            <w:tcW w:w="425" w:type="dxa"/>
          </w:tcPr>
          <w:p w14:paraId="60E36DAB" w14:textId="77777777" w:rsidR="00F16A45" w:rsidRPr="000F1F50" w:rsidRDefault="00F16A45" w:rsidP="00481903">
            <w:pPr>
              <w:pStyle w:val="TableText"/>
              <w:spacing w:line="240" w:lineRule="auto"/>
              <w:jc w:val="right"/>
              <w:cnfStyle w:val="000000100000" w:firstRow="0" w:lastRow="0" w:firstColumn="0" w:lastColumn="0" w:oddVBand="0" w:evenVBand="0" w:oddHBand="1" w:evenHBand="0" w:firstRowFirstColumn="0" w:firstRowLastColumn="0" w:lastRowFirstColumn="0" w:lastRowLastColumn="0"/>
              <w:rPr>
                <w:sz w:val="12"/>
                <w:szCs w:val="12"/>
              </w:rPr>
            </w:pPr>
          </w:p>
        </w:tc>
        <w:tc>
          <w:tcPr>
            <w:tcW w:w="755" w:type="dxa"/>
          </w:tcPr>
          <w:p w14:paraId="0FF319DB" w14:textId="77777777" w:rsidR="00F16A45" w:rsidRPr="000F1F50" w:rsidRDefault="00F16A45" w:rsidP="00481903">
            <w:pPr>
              <w:pStyle w:val="TableText"/>
              <w:spacing w:line="240" w:lineRule="auto"/>
              <w:jc w:val="right"/>
              <w:cnfStyle w:val="000000100000" w:firstRow="0" w:lastRow="0" w:firstColumn="0" w:lastColumn="0" w:oddVBand="0" w:evenVBand="0" w:oddHBand="1" w:evenHBand="0" w:firstRowFirstColumn="0" w:firstRowLastColumn="0" w:lastRowFirstColumn="0" w:lastRowLastColumn="0"/>
              <w:rPr>
                <w:sz w:val="12"/>
                <w:szCs w:val="12"/>
              </w:rPr>
            </w:pPr>
          </w:p>
        </w:tc>
        <w:tc>
          <w:tcPr>
            <w:tcW w:w="425" w:type="dxa"/>
          </w:tcPr>
          <w:p w14:paraId="7C33AD23" w14:textId="77777777" w:rsidR="00F16A45" w:rsidRPr="000F1F50" w:rsidRDefault="00F16A45" w:rsidP="00481903">
            <w:pPr>
              <w:pStyle w:val="TableText"/>
              <w:spacing w:line="240" w:lineRule="auto"/>
              <w:jc w:val="right"/>
              <w:cnfStyle w:val="000000100000" w:firstRow="0" w:lastRow="0" w:firstColumn="0" w:lastColumn="0" w:oddVBand="0" w:evenVBand="0" w:oddHBand="1" w:evenHBand="0" w:firstRowFirstColumn="0" w:firstRowLastColumn="0" w:lastRowFirstColumn="0" w:lastRowLastColumn="0"/>
              <w:rPr>
                <w:sz w:val="12"/>
                <w:szCs w:val="12"/>
              </w:rPr>
            </w:pPr>
          </w:p>
        </w:tc>
        <w:tc>
          <w:tcPr>
            <w:tcW w:w="709" w:type="dxa"/>
          </w:tcPr>
          <w:p w14:paraId="65861BF6" w14:textId="77777777" w:rsidR="00F16A45" w:rsidRPr="000F1F50" w:rsidRDefault="00F16A45" w:rsidP="00481903">
            <w:pPr>
              <w:pStyle w:val="TableText"/>
              <w:spacing w:line="240" w:lineRule="auto"/>
              <w:jc w:val="right"/>
              <w:cnfStyle w:val="000000100000" w:firstRow="0" w:lastRow="0" w:firstColumn="0" w:lastColumn="0" w:oddVBand="0" w:evenVBand="0" w:oddHBand="1" w:evenHBand="0" w:firstRowFirstColumn="0" w:firstRowLastColumn="0" w:lastRowFirstColumn="0" w:lastRowLastColumn="0"/>
              <w:rPr>
                <w:sz w:val="12"/>
                <w:szCs w:val="12"/>
              </w:rPr>
            </w:pPr>
          </w:p>
        </w:tc>
        <w:tc>
          <w:tcPr>
            <w:tcW w:w="567" w:type="dxa"/>
          </w:tcPr>
          <w:p w14:paraId="64EB9D22" w14:textId="77777777" w:rsidR="00F16A45" w:rsidRPr="000F1F50" w:rsidRDefault="00F16A45" w:rsidP="00481903">
            <w:pPr>
              <w:pStyle w:val="TableText"/>
              <w:spacing w:line="240" w:lineRule="auto"/>
              <w:jc w:val="right"/>
              <w:cnfStyle w:val="000000100000" w:firstRow="0" w:lastRow="0" w:firstColumn="0" w:lastColumn="0" w:oddVBand="0" w:evenVBand="0" w:oddHBand="1" w:evenHBand="0" w:firstRowFirstColumn="0" w:firstRowLastColumn="0" w:lastRowFirstColumn="0" w:lastRowLastColumn="0"/>
              <w:rPr>
                <w:sz w:val="12"/>
                <w:szCs w:val="12"/>
              </w:rPr>
            </w:pPr>
          </w:p>
        </w:tc>
        <w:tc>
          <w:tcPr>
            <w:tcW w:w="709" w:type="dxa"/>
          </w:tcPr>
          <w:p w14:paraId="3DF8095A" w14:textId="77777777" w:rsidR="00F16A45" w:rsidRPr="000F1F50" w:rsidRDefault="00F16A45" w:rsidP="00481903">
            <w:pPr>
              <w:pStyle w:val="TableText"/>
              <w:spacing w:line="240" w:lineRule="auto"/>
              <w:jc w:val="right"/>
              <w:cnfStyle w:val="000000100000" w:firstRow="0" w:lastRow="0" w:firstColumn="0" w:lastColumn="0" w:oddVBand="0" w:evenVBand="0" w:oddHBand="1" w:evenHBand="0" w:firstRowFirstColumn="0" w:firstRowLastColumn="0" w:lastRowFirstColumn="0" w:lastRowLastColumn="0"/>
              <w:rPr>
                <w:sz w:val="12"/>
                <w:szCs w:val="12"/>
              </w:rPr>
            </w:pPr>
          </w:p>
        </w:tc>
        <w:tc>
          <w:tcPr>
            <w:tcW w:w="548" w:type="dxa"/>
            <w:tcBorders>
              <w:right w:val="single" w:sz="4" w:space="0" w:color="auto"/>
            </w:tcBorders>
          </w:tcPr>
          <w:p w14:paraId="6F8BA007" w14:textId="77777777" w:rsidR="00F16A45" w:rsidRPr="000F1F50" w:rsidRDefault="00F16A45" w:rsidP="00481903">
            <w:pPr>
              <w:pStyle w:val="TableText"/>
              <w:spacing w:line="240" w:lineRule="auto"/>
              <w:jc w:val="right"/>
              <w:cnfStyle w:val="000000100000" w:firstRow="0" w:lastRow="0" w:firstColumn="0" w:lastColumn="0" w:oddVBand="0" w:evenVBand="0" w:oddHBand="1" w:evenHBand="0" w:firstRowFirstColumn="0" w:firstRowLastColumn="0" w:lastRowFirstColumn="0" w:lastRowLastColumn="0"/>
              <w:rPr>
                <w:sz w:val="12"/>
                <w:szCs w:val="12"/>
              </w:rPr>
            </w:pPr>
          </w:p>
        </w:tc>
        <w:tc>
          <w:tcPr>
            <w:tcW w:w="823" w:type="dxa"/>
            <w:tcBorders>
              <w:left w:val="single" w:sz="4" w:space="0" w:color="auto"/>
            </w:tcBorders>
          </w:tcPr>
          <w:p w14:paraId="5A8720AE" w14:textId="77777777" w:rsidR="00F16A45" w:rsidRPr="000F1F50" w:rsidRDefault="00F16A45" w:rsidP="00481903">
            <w:pPr>
              <w:pStyle w:val="TableText"/>
              <w:spacing w:line="240" w:lineRule="auto"/>
              <w:jc w:val="right"/>
              <w:cnfStyle w:val="000000100000" w:firstRow="0" w:lastRow="0" w:firstColumn="0" w:lastColumn="0" w:oddVBand="0" w:evenVBand="0" w:oddHBand="1" w:evenHBand="0" w:firstRowFirstColumn="0" w:firstRowLastColumn="0" w:lastRowFirstColumn="0" w:lastRowLastColumn="0"/>
              <w:rPr>
                <w:sz w:val="12"/>
                <w:szCs w:val="12"/>
              </w:rPr>
            </w:pPr>
          </w:p>
        </w:tc>
        <w:tc>
          <w:tcPr>
            <w:tcW w:w="851" w:type="dxa"/>
          </w:tcPr>
          <w:p w14:paraId="0CFDA209" w14:textId="77777777" w:rsidR="00F16A45" w:rsidRPr="000F1F50" w:rsidRDefault="00F16A45" w:rsidP="00481903">
            <w:pPr>
              <w:pStyle w:val="TableText"/>
              <w:spacing w:line="240" w:lineRule="auto"/>
              <w:jc w:val="right"/>
              <w:cnfStyle w:val="000000100000" w:firstRow="0" w:lastRow="0" w:firstColumn="0" w:lastColumn="0" w:oddVBand="0" w:evenVBand="0" w:oddHBand="1" w:evenHBand="0" w:firstRowFirstColumn="0" w:firstRowLastColumn="0" w:lastRowFirstColumn="0" w:lastRowLastColumn="0"/>
              <w:rPr>
                <w:sz w:val="12"/>
                <w:szCs w:val="12"/>
              </w:rPr>
            </w:pPr>
          </w:p>
        </w:tc>
        <w:tc>
          <w:tcPr>
            <w:tcW w:w="1276" w:type="dxa"/>
          </w:tcPr>
          <w:p w14:paraId="793DD92E" w14:textId="77777777" w:rsidR="00F16A45" w:rsidRPr="000F1F50" w:rsidRDefault="00F16A45" w:rsidP="00481903">
            <w:pPr>
              <w:pStyle w:val="TableText"/>
              <w:spacing w:line="240" w:lineRule="auto"/>
              <w:jc w:val="right"/>
              <w:cnfStyle w:val="000000100000" w:firstRow="0" w:lastRow="0" w:firstColumn="0" w:lastColumn="0" w:oddVBand="0" w:evenVBand="0" w:oddHBand="1" w:evenHBand="0" w:firstRowFirstColumn="0" w:firstRowLastColumn="0" w:lastRowFirstColumn="0" w:lastRowLastColumn="0"/>
              <w:rPr>
                <w:sz w:val="12"/>
                <w:szCs w:val="12"/>
              </w:rPr>
            </w:pPr>
          </w:p>
        </w:tc>
        <w:tc>
          <w:tcPr>
            <w:tcW w:w="1038" w:type="dxa"/>
          </w:tcPr>
          <w:p w14:paraId="54C1B677" w14:textId="77777777" w:rsidR="00F16A45" w:rsidRPr="000F1F50" w:rsidRDefault="00F16A45" w:rsidP="00481903">
            <w:pPr>
              <w:pStyle w:val="TableText"/>
              <w:spacing w:line="240" w:lineRule="auto"/>
              <w:jc w:val="right"/>
              <w:cnfStyle w:val="000000100000" w:firstRow="0" w:lastRow="0" w:firstColumn="0" w:lastColumn="0" w:oddVBand="0" w:evenVBand="0" w:oddHBand="1" w:evenHBand="0" w:firstRowFirstColumn="0" w:firstRowLastColumn="0" w:lastRowFirstColumn="0" w:lastRowLastColumn="0"/>
              <w:rPr>
                <w:sz w:val="12"/>
                <w:szCs w:val="12"/>
              </w:rPr>
            </w:pPr>
          </w:p>
        </w:tc>
      </w:tr>
      <w:tr w:rsidR="0088420A" w:rsidRPr="000F1F50" w14:paraId="72E1BB5C" w14:textId="77777777" w:rsidTr="0088420A">
        <w:tc>
          <w:tcPr>
            <w:cnfStyle w:val="001000000000" w:firstRow="0" w:lastRow="0" w:firstColumn="1" w:lastColumn="0" w:oddVBand="0" w:evenVBand="0" w:oddHBand="0" w:evenHBand="0" w:firstRowFirstColumn="0" w:firstRowLastColumn="0" w:lastRowFirstColumn="0" w:lastRowLastColumn="0"/>
            <w:tcW w:w="237" w:type="dxa"/>
          </w:tcPr>
          <w:p w14:paraId="0143A9E6" w14:textId="77777777" w:rsidR="00F16A45" w:rsidRPr="000F1F50" w:rsidRDefault="00F16A45" w:rsidP="00F16A45">
            <w:pPr>
              <w:pStyle w:val="TableText"/>
              <w:spacing w:line="240" w:lineRule="auto"/>
              <w:rPr>
                <w:sz w:val="12"/>
                <w:szCs w:val="12"/>
              </w:rPr>
            </w:pPr>
          </w:p>
        </w:tc>
        <w:tc>
          <w:tcPr>
            <w:tcW w:w="756" w:type="dxa"/>
            <w:tcBorders>
              <w:right w:val="single" w:sz="4" w:space="0" w:color="auto"/>
            </w:tcBorders>
          </w:tcPr>
          <w:p w14:paraId="1BD997C0" w14:textId="2CE11A05" w:rsidR="00F16A45" w:rsidRPr="000F1F50" w:rsidRDefault="00F16A45" w:rsidP="00F16A45">
            <w:pPr>
              <w:pStyle w:val="TableText"/>
              <w:spacing w:line="240" w:lineRule="auto"/>
              <w:cnfStyle w:val="000000000000" w:firstRow="0" w:lastRow="0" w:firstColumn="0" w:lastColumn="0" w:oddVBand="0" w:evenVBand="0" w:oddHBand="0" w:evenHBand="0" w:firstRowFirstColumn="0" w:firstRowLastColumn="0" w:lastRowFirstColumn="0" w:lastRowLastColumn="0"/>
              <w:rPr>
                <w:sz w:val="12"/>
                <w:szCs w:val="12"/>
              </w:rPr>
            </w:pPr>
            <w:r w:rsidRPr="000F1F50">
              <w:rPr>
                <w:sz w:val="12"/>
                <w:szCs w:val="12"/>
              </w:rPr>
              <w:t>11/2/</w:t>
            </w:r>
            <w:r w:rsidR="00DE4991" w:rsidRPr="000F1F50">
              <w:rPr>
                <w:sz w:val="12"/>
                <w:szCs w:val="12"/>
              </w:rPr>
              <w:t>20</w:t>
            </w:r>
            <w:r w:rsidR="00DE4991">
              <w:rPr>
                <w:sz w:val="12"/>
                <w:szCs w:val="12"/>
              </w:rPr>
              <w:t>22</w:t>
            </w:r>
          </w:p>
        </w:tc>
        <w:tc>
          <w:tcPr>
            <w:tcW w:w="755" w:type="dxa"/>
            <w:tcBorders>
              <w:left w:val="single" w:sz="4" w:space="0" w:color="auto"/>
            </w:tcBorders>
          </w:tcPr>
          <w:p w14:paraId="059F6743" w14:textId="77777777" w:rsidR="00F16A45" w:rsidRPr="000F1F50" w:rsidRDefault="00F16A45" w:rsidP="00481903">
            <w:pPr>
              <w:pStyle w:val="TableText"/>
              <w:spacing w:line="240" w:lineRule="auto"/>
              <w:jc w:val="right"/>
              <w:cnfStyle w:val="000000000000" w:firstRow="0" w:lastRow="0" w:firstColumn="0" w:lastColumn="0" w:oddVBand="0" w:evenVBand="0" w:oddHBand="0" w:evenHBand="0" w:firstRowFirstColumn="0" w:firstRowLastColumn="0" w:lastRowFirstColumn="0" w:lastRowLastColumn="0"/>
              <w:rPr>
                <w:sz w:val="12"/>
                <w:szCs w:val="12"/>
              </w:rPr>
            </w:pPr>
          </w:p>
        </w:tc>
        <w:tc>
          <w:tcPr>
            <w:tcW w:w="425" w:type="dxa"/>
          </w:tcPr>
          <w:p w14:paraId="4F493165" w14:textId="77777777" w:rsidR="00F16A45" w:rsidRPr="000F1F50" w:rsidRDefault="00F16A45" w:rsidP="00481903">
            <w:pPr>
              <w:pStyle w:val="TableText"/>
              <w:spacing w:line="240" w:lineRule="auto"/>
              <w:jc w:val="right"/>
              <w:cnfStyle w:val="000000000000" w:firstRow="0" w:lastRow="0" w:firstColumn="0" w:lastColumn="0" w:oddVBand="0" w:evenVBand="0" w:oddHBand="0" w:evenHBand="0" w:firstRowFirstColumn="0" w:firstRowLastColumn="0" w:lastRowFirstColumn="0" w:lastRowLastColumn="0"/>
              <w:rPr>
                <w:sz w:val="12"/>
                <w:szCs w:val="12"/>
              </w:rPr>
            </w:pPr>
          </w:p>
        </w:tc>
        <w:tc>
          <w:tcPr>
            <w:tcW w:w="709" w:type="dxa"/>
          </w:tcPr>
          <w:p w14:paraId="45F8CCCA" w14:textId="77777777" w:rsidR="00F16A45" w:rsidRPr="000F1F50" w:rsidRDefault="00F16A45" w:rsidP="00481903">
            <w:pPr>
              <w:pStyle w:val="TableText"/>
              <w:spacing w:line="240" w:lineRule="auto"/>
              <w:jc w:val="right"/>
              <w:cnfStyle w:val="000000000000" w:firstRow="0" w:lastRow="0" w:firstColumn="0" w:lastColumn="0" w:oddVBand="0" w:evenVBand="0" w:oddHBand="0" w:evenHBand="0" w:firstRowFirstColumn="0" w:firstRowLastColumn="0" w:lastRowFirstColumn="0" w:lastRowLastColumn="0"/>
              <w:rPr>
                <w:sz w:val="12"/>
                <w:szCs w:val="12"/>
              </w:rPr>
            </w:pPr>
          </w:p>
        </w:tc>
        <w:tc>
          <w:tcPr>
            <w:tcW w:w="425" w:type="dxa"/>
          </w:tcPr>
          <w:p w14:paraId="74D5427D" w14:textId="77777777" w:rsidR="00F16A45" w:rsidRPr="000F1F50" w:rsidRDefault="00F16A45" w:rsidP="00481903">
            <w:pPr>
              <w:pStyle w:val="TableText"/>
              <w:spacing w:line="240" w:lineRule="auto"/>
              <w:jc w:val="right"/>
              <w:cnfStyle w:val="000000000000" w:firstRow="0" w:lastRow="0" w:firstColumn="0" w:lastColumn="0" w:oddVBand="0" w:evenVBand="0" w:oddHBand="0" w:evenHBand="0" w:firstRowFirstColumn="0" w:firstRowLastColumn="0" w:lastRowFirstColumn="0" w:lastRowLastColumn="0"/>
              <w:rPr>
                <w:sz w:val="12"/>
                <w:szCs w:val="12"/>
              </w:rPr>
            </w:pPr>
          </w:p>
        </w:tc>
        <w:tc>
          <w:tcPr>
            <w:tcW w:w="709" w:type="dxa"/>
          </w:tcPr>
          <w:p w14:paraId="34649ED6" w14:textId="77777777" w:rsidR="00F16A45" w:rsidRPr="000F1F50" w:rsidRDefault="00F16A45" w:rsidP="00481903">
            <w:pPr>
              <w:pStyle w:val="TableText"/>
              <w:spacing w:line="240" w:lineRule="auto"/>
              <w:jc w:val="right"/>
              <w:cnfStyle w:val="000000000000" w:firstRow="0" w:lastRow="0" w:firstColumn="0" w:lastColumn="0" w:oddVBand="0" w:evenVBand="0" w:oddHBand="0" w:evenHBand="0" w:firstRowFirstColumn="0" w:firstRowLastColumn="0" w:lastRowFirstColumn="0" w:lastRowLastColumn="0"/>
              <w:rPr>
                <w:sz w:val="12"/>
                <w:szCs w:val="12"/>
              </w:rPr>
            </w:pPr>
          </w:p>
        </w:tc>
        <w:tc>
          <w:tcPr>
            <w:tcW w:w="567" w:type="dxa"/>
          </w:tcPr>
          <w:p w14:paraId="132E411A" w14:textId="77777777" w:rsidR="00F16A45" w:rsidRPr="000F1F50" w:rsidRDefault="00F16A45" w:rsidP="00481903">
            <w:pPr>
              <w:pStyle w:val="TableText"/>
              <w:spacing w:line="240" w:lineRule="auto"/>
              <w:jc w:val="right"/>
              <w:cnfStyle w:val="000000000000" w:firstRow="0" w:lastRow="0" w:firstColumn="0" w:lastColumn="0" w:oddVBand="0" w:evenVBand="0" w:oddHBand="0" w:evenHBand="0" w:firstRowFirstColumn="0" w:firstRowLastColumn="0" w:lastRowFirstColumn="0" w:lastRowLastColumn="0"/>
              <w:rPr>
                <w:sz w:val="12"/>
                <w:szCs w:val="12"/>
              </w:rPr>
            </w:pPr>
          </w:p>
        </w:tc>
        <w:tc>
          <w:tcPr>
            <w:tcW w:w="709" w:type="dxa"/>
          </w:tcPr>
          <w:p w14:paraId="70842F40" w14:textId="77777777" w:rsidR="00F16A45" w:rsidRPr="000F1F50" w:rsidRDefault="00F16A45" w:rsidP="00481903">
            <w:pPr>
              <w:pStyle w:val="TableText"/>
              <w:spacing w:line="240" w:lineRule="auto"/>
              <w:jc w:val="right"/>
              <w:cnfStyle w:val="000000000000" w:firstRow="0" w:lastRow="0" w:firstColumn="0" w:lastColumn="0" w:oddVBand="0" w:evenVBand="0" w:oddHBand="0" w:evenHBand="0" w:firstRowFirstColumn="0" w:firstRowLastColumn="0" w:lastRowFirstColumn="0" w:lastRowLastColumn="0"/>
              <w:rPr>
                <w:sz w:val="12"/>
                <w:szCs w:val="12"/>
              </w:rPr>
            </w:pPr>
          </w:p>
        </w:tc>
        <w:tc>
          <w:tcPr>
            <w:tcW w:w="567" w:type="dxa"/>
            <w:tcBorders>
              <w:right w:val="single" w:sz="4" w:space="0" w:color="auto"/>
            </w:tcBorders>
          </w:tcPr>
          <w:p w14:paraId="1A159BEB" w14:textId="77777777" w:rsidR="00F16A45" w:rsidRPr="000F1F50" w:rsidRDefault="00F16A45" w:rsidP="00481903">
            <w:pPr>
              <w:pStyle w:val="TableText"/>
              <w:spacing w:line="240" w:lineRule="auto"/>
              <w:jc w:val="right"/>
              <w:cnfStyle w:val="000000000000" w:firstRow="0" w:lastRow="0" w:firstColumn="0" w:lastColumn="0" w:oddVBand="0" w:evenVBand="0" w:oddHBand="0" w:evenHBand="0" w:firstRowFirstColumn="0" w:firstRowLastColumn="0" w:lastRowFirstColumn="0" w:lastRowLastColumn="0"/>
              <w:rPr>
                <w:sz w:val="12"/>
                <w:szCs w:val="12"/>
              </w:rPr>
            </w:pPr>
          </w:p>
        </w:tc>
        <w:tc>
          <w:tcPr>
            <w:tcW w:w="662" w:type="dxa"/>
            <w:tcBorders>
              <w:left w:val="single" w:sz="4" w:space="0" w:color="auto"/>
            </w:tcBorders>
          </w:tcPr>
          <w:p w14:paraId="4A0B4EFA" w14:textId="77777777" w:rsidR="00F16A45" w:rsidRPr="000F1F50" w:rsidRDefault="00F16A45" w:rsidP="00481903">
            <w:pPr>
              <w:pStyle w:val="TableText"/>
              <w:spacing w:line="240" w:lineRule="auto"/>
              <w:jc w:val="right"/>
              <w:cnfStyle w:val="000000000000" w:firstRow="0" w:lastRow="0" w:firstColumn="0" w:lastColumn="0" w:oddVBand="0" w:evenVBand="0" w:oddHBand="0" w:evenHBand="0" w:firstRowFirstColumn="0" w:firstRowLastColumn="0" w:lastRowFirstColumn="0" w:lastRowLastColumn="0"/>
              <w:rPr>
                <w:sz w:val="12"/>
                <w:szCs w:val="12"/>
              </w:rPr>
            </w:pPr>
          </w:p>
        </w:tc>
        <w:tc>
          <w:tcPr>
            <w:tcW w:w="425" w:type="dxa"/>
          </w:tcPr>
          <w:p w14:paraId="2EE1A709" w14:textId="77777777" w:rsidR="00F16A45" w:rsidRPr="000F1F50" w:rsidRDefault="00F16A45" w:rsidP="00481903">
            <w:pPr>
              <w:pStyle w:val="TableText"/>
              <w:spacing w:line="240" w:lineRule="auto"/>
              <w:jc w:val="right"/>
              <w:cnfStyle w:val="000000000000" w:firstRow="0" w:lastRow="0" w:firstColumn="0" w:lastColumn="0" w:oddVBand="0" w:evenVBand="0" w:oddHBand="0" w:evenHBand="0" w:firstRowFirstColumn="0" w:firstRowLastColumn="0" w:lastRowFirstColumn="0" w:lastRowLastColumn="0"/>
              <w:rPr>
                <w:sz w:val="12"/>
                <w:szCs w:val="12"/>
              </w:rPr>
            </w:pPr>
          </w:p>
        </w:tc>
        <w:tc>
          <w:tcPr>
            <w:tcW w:w="755" w:type="dxa"/>
          </w:tcPr>
          <w:p w14:paraId="21D1D26C" w14:textId="77777777" w:rsidR="00F16A45" w:rsidRPr="000F1F50" w:rsidRDefault="00F16A45" w:rsidP="00481903">
            <w:pPr>
              <w:pStyle w:val="TableText"/>
              <w:spacing w:line="240" w:lineRule="auto"/>
              <w:jc w:val="right"/>
              <w:cnfStyle w:val="000000000000" w:firstRow="0" w:lastRow="0" w:firstColumn="0" w:lastColumn="0" w:oddVBand="0" w:evenVBand="0" w:oddHBand="0" w:evenHBand="0" w:firstRowFirstColumn="0" w:firstRowLastColumn="0" w:lastRowFirstColumn="0" w:lastRowLastColumn="0"/>
              <w:rPr>
                <w:sz w:val="12"/>
                <w:szCs w:val="12"/>
              </w:rPr>
            </w:pPr>
          </w:p>
        </w:tc>
        <w:tc>
          <w:tcPr>
            <w:tcW w:w="425" w:type="dxa"/>
          </w:tcPr>
          <w:p w14:paraId="09823E06" w14:textId="77777777" w:rsidR="00F16A45" w:rsidRPr="000F1F50" w:rsidRDefault="00F16A45" w:rsidP="00481903">
            <w:pPr>
              <w:pStyle w:val="TableText"/>
              <w:spacing w:line="240" w:lineRule="auto"/>
              <w:jc w:val="right"/>
              <w:cnfStyle w:val="000000000000" w:firstRow="0" w:lastRow="0" w:firstColumn="0" w:lastColumn="0" w:oddVBand="0" w:evenVBand="0" w:oddHBand="0" w:evenHBand="0" w:firstRowFirstColumn="0" w:firstRowLastColumn="0" w:lastRowFirstColumn="0" w:lastRowLastColumn="0"/>
              <w:rPr>
                <w:sz w:val="12"/>
                <w:szCs w:val="12"/>
              </w:rPr>
            </w:pPr>
          </w:p>
        </w:tc>
        <w:tc>
          <w:tcPr>
            <w:tcW w:w="709" w:type="dxa"/>
          </w:tcPr>
          <w:p w14:paraId="649215EA" w14:textId="77777777" w:rsidR="00F16A45" w:rsidRPr="000F1F50" w:rsidRDefault="00F16A45" w:rsidP="00481903">
            <w:pPr>
              <w:pStyle w:val="TableText"/>
              <w:spacing w:line="240" w:lineRule="auto"/>
              <w:jc w:val="right"/>
              <w:cnfStyle w:val="000000000000" w:firstRow="0" w:lastRow="0" w:firstColumn="0" w:lastColumn="0" w:oddVBand="0" w:evenVBand="0" w:oddHBand="0" w:evenHBand="0" w:firstRowFirstColumn="0" w:firstRowLastColumn="0" w:lastRowFirstColumn="0" w:lastRowLastColumn="0"/>
              <w:rPr>
                <w:sz w:val="12"/>
                <w:szCs w:val="12"/>
              </w:rPr>
            </w:pPr>
          </w:p>
        </w:tc>
        <w:tc>
          <w:tcPr>
            <w:tcW w:w="567" w:type="dxa"/>
          </w:tcPr>
          <w:p w14:paraId="535F9284" w14:textId="77777777" w:rsidR="00F16A45" w:rsidRPr="000F1F50" w:rsidRDefault="00F16A45" w:rsidP="00481903">
            <w:pPr>
              <w:pStyle w:val="TableText"/>
              <w:spacing w:line="240" w:lineRule="auto"/>
              <w:jc w:val="right"/>
              <w:cnfStyle w:val="000000000000" w:firstRow="0" w:lastRow="0" w:firstColumn="0" w:lastColumn="0" w:oddVBand="0" w:evenVBand="0" w:oddHBand="0" w:evenHBand="0" w:firstRowFirstColumn="0" w:firstRowLastColumn="0" w:lastRowFirstColumn="0" w:lastRowLastColumn="0"/>
              <w:rPr>
                <w:sz w:val="12"/>
                <w:szCs w:val="12"/>
              </w:rPr>
            </w:pPr>
          </w:p>
        </w:tc>
        <w:tc>
          <w:tcPr>
            <w:tcW w:w="709" w:type="dxa"/>
          </w:tcPr>
          <w:p w14:paraId="1484A9FF" w14:textId="77777777" w:rsidR="00F16A45" w:rsidRPr="000F1F50" w:rsidRDefault="00F16A45" w:rsidP="00481903">
            <w:pPr>
              <w:pStyle w:val="TableText"/>
              <w:spacing w:line="240" w:lineRule="auto"/>
              <w:jc w:val="right"/>
              <w:cnfStyle w:val="000000000000" w:firstRow="0" w:lastRow="0" w:firstColumn="0" w:lastColumn="0" w:oddVBand="0" w:evenVBand="0" w:oddHBand="0" w:evenHBand="0" w:firstRowFirstColumn="0" w:firstRowLastColumn="0" w:lastRowFirstColumn="0" w:lastRowLastColumn="0"/>
              <w:rPr>
                <w:sz w:val="12"/>
                <w:szCs w:val="12"/>
              </w:rPr>
            </w:pPr>
          </w:p>
        </w:tc>
        <w:tc>
          <w:tcPr>
            <w:tcW w:w="548" w:type="dxa"/>
            <w:tcBorders>
              <w:right w:val="single" w:sz="4" w:space="0" w:color="auto"/>
            </w:tcBorders>
          </w:tcPr>
          <w:p w14:paraId="407A5F86" w14:textId="77777777" w:rsidR="00F16A45" w:rsidRPr="000F1F50" w:rsidRDefault="00F16A45" w:rsidP="00481903">
            <w:pPr>
              <w:pStyle w:val="TableText"/>
              <w:spacing w:line="240" w:lineRule="auto"/>
              <w:jc w:val="right"/>
              <w:cnfStyle w:val="000000000000" w:firstRow="0" w:lastRow="0" w:firstColumn="0" w:lastColumn="0" w:oddVBand="0" w:evenVBand="0" w:oddHBand="0" w:evenHBand="0" w:firstRowFirstColumn="0" w:firstRowLastColumn="0" w:lastRowFirstColumn="0" w:lastRowLastColumn="0"/>
              <w:rPr>
                <w:sz w:val="12"/>
                <w:szCs w:val="12"/>
              </w:rPr>
            </w:pPr>
          </w:p>
        </w:tc>
        <w:tc>
          <w:tcPr>
            <w:tcW w:w="823" w:type="dxa"/>
            <w:tcBorders>
              <w:left w:val="single" w:sz="4" w:space="0" w:color="auto"/>
            </w:tcBorders>
          </w:tcPr>
          <w:p w14:paraId="31AF60E3" w14:textId="77777777" w:rsidR="00F16A45" w:rsidRPr="000F1F50" w:rsidRDefault="00F16A45" w:rsidP="00481903">
            <w:pPr>
              <w:pStyle w:val="TableText"/>
              <w:spacing w:line="240" w:lineRule="auto"/>
              <w:jc w:val="right"/>
              <w:cnfStyle w:val="000000000000" w:firstRow="0" w:lastRow="0" w:firstColumn="0" w:lastColumn="0" w:oddVBand="0" w:evenVBand="0" w:oddHBand="0" w:evenHBand="0" w:firstRowFirstColumn="0" w:firstRowLastColumn="0" w:lastRowFirstColumn="0" w:lastRowLastColumn="0"/>
              <w:rPr>
                <w:sz w:val="12"/>
                <w:szCs w:val="12"/>
              </w:rPr>
            </w:pPr>
          </w:p>
        </w:tc>
        <w:tc>
          <w:tcPr>
            <w:tcW w:w="851" w:type="dxa"/>
          </w:tcPr>
          <w:p w14:paraId="3024A9B3" w14:textId="77777777" w:rsidR="00F16A45" w:rsidRPr="000F1F50" w:rsidRDefault="00F16A45" w:rsidP="00481903">
            <w:pPr>
              <w:pStyle w:val="TableText"/>
              <w:spacing w:line="240" w:lineRule="auto"/>
              <w:jc w:val="right"/>
              <w:cnfStyle w:val="000000000000" w:firstRow="0" w:lastRow="0" w:firstColumn="0" w:lastColumn="0" w:oddVBand="0" w:evenVBand="0" w:oddHBand="0" w:evenHBand="0" w:firstRowFirstColumn="0" w:firstRowLastColumn="0" w:lastRowFirstColumn="0" w:lastRowLastColumn="0"/>
              <w:rPr>
                <w:sz w:val="12"/>
                <w:szCs w:val="12"/>
              </w:rPr>
            </w:pPr>
          </w:p>
        </w:tc>
        <w:tc>
          <w:tcPr>
            <w:tcW w:w="1276" w:type="dxa"/>
          </w:tcPr>
          <w:p w14:paraId="098F0B93" w14:textId="77777777" w:rsidR="00F16A45" w:rsidRPr="000F1F50" w:rsidRDefault="00F16A45" w:rsidP="00481903">
            <w:pPr>
              <w:pStyle w:val="TableText"/>
              <w:spacing w:line="240" w:lineRule="auto"/>
              <w:jc w:val="right"/>
              <w:cnfStyle w:val="000000000000" w:firstRow="0" w:lastRow="0" w:firstColumn="0" w:lastColumn="0" w:oddVBand="0" w:evenVBand="0" w:oddHBand="0" w:evenHBand="0" w:firstRowFirstColumn="0" w:firstRowLastColumn="0" w:lastRowFirstColumn="0" w:lastRowLastColumn="0"/>
              <w:rPr>
                <w:sz w:val="12"/>
                <w:szCs w:val="12"/>
              </w:rPr>
            </w:pPr>
          </w:p>
        </w:tc>
        <w:tc>
          <w:tcPr>
            <w:tcW w:w="1038" w:type="dxa"/>
          </w:tcPr>
          <w:p w14:paraId="4FBBCE2F" w14:textId="77777777" w:rsidR="00F16A45" w:rsidRPr="000F1F50" w:rsidRDefault="00F16A45" w:rsidP="00481903">
            <w:pPr>
              <w:pStyle w:val="TableText"/>
              <w:spacing w:line="240" w:lineRule="auto"/>
              <w:jc w:val="right"/>
              <w:cnfStyle w:val="000000000000" w:firstRow="0" w:lastRow="0" w:firstColumn="0" w:lastColumn="0" w:oddVBand="0" w:evenVBand="0" w:oddHBand="0" w:evenHBand="0" w:firstRowFirstColumn="0" w:firstRowLastColumn="0" w:lastRowFirstColumn="0" w:lastRowLastColumn="0"/>
              <w:rPr>
                <w:sz w:val="12"/>
                <w:szCs w:val="12"/>
              </w:rPr>
            </w:pPr>
          </w:p>
        </w:tc>
      </w:tr>
      <w:tr w:rsidR="0088420A" w:rsidRPr="000F1F50" w14:paraId="04B0F15C" w14:textId="77777777" w:rsidTr="008842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 w:type="dxa"/>
          </w:tcPr>
          <w:p w14:paraId="5F61C9D8" w14:textId="77777777" w:rsidR="00F16A45" w:rsidRPr="000F1F50" w:rsidRDefault="00F16A45" w:rsidP="00F16A45">
            <w:pPr>
              <w:pStyle w:val="TableText"/>
              <w:spacing w:line="240" w:lineRule="auto"/>
              <w:rPr>
                <w:sz w:val="12"/>
                <w:szCs w:val="12"/>
              </w:rPr>
            </w:pPr>
          </w:p>
        </w:tc>
        <w:tc>
          <w:tcPr>
            <w:tcW w:w="756" w:type="dxa"/>
            <w:tcBorders>
              <w:right w:val="single" w:sz="4" w:space="0" w:color="auto"/>
            </w:tcBorders>
          </w:tcPr>
          <w:p w14:paraId="45893FEE" w14:textId="52AFF21B" w:rsidR="00F16A45" w:rsidRPr="000F1F50" w:rsidRDefault="00F16A45" w:rsidP="00F16A45">
            <w:pPr>
              <w:pStyle w:val="TableText"/>
              <w:spacing w:line="240" w:lineRule="auto"/>
              <w:cnfStyle w:val="000000100000" w:firstRow="0" w:lastRow="0" w:firstColumn="0" w:lastColumn="0" w:oddVBand="0" w:evenVBand="0" w:oddHBand="1" w:evenHBand="0" w:firstRowFirstColumn="0" w:firstRowLastColumn="0" w:lastRowFirstColumn="0" w:lastRowLastColumn="0"/>
              <w:rPr>
                <w:sz w:val="12"/>
                <w:szCs w:val="12"/>
              </w:rPr>
            </w:pPr>
            <w:r w:rsidRPr="000F1F50">
              <w:rPr>
                <w:sz w:val="12"/>
                <w:szCs w:val="12"/>
              </w:rPr>
              <w:t>12/2/</w:t>
            </w:r>
            <w:r w:rsidR="00DE4991" w:rsidRPr="000F1F50">
              <w:rPr>
                <w:sz w:val="12"/>
                <w:szCs w:val="12"/>
              </w:rPr>
              <w:t>20</w:t>
            </w:r>
            <w:r w:rsidR="00DE4991">
              <w:rPr>
                <w:sz w:val="12"/>
                <w:szCs w:val="12"/>
              </w:rPr>
              <w:t>22</w:t>
            </w:r>
          </w:p>
        </w:tc>
        <w:tc>
          <w:tcPr>
            <w:tcW w:w="755" w:type="dxa"/>
            <w:tcBorders>
              <w:left w:val="single" w:sz="4" w:space="0" w:color="auto"/>
            </w:tcBorders>
          </w:tcPr>
          <w:p w14:paraId="3D666CD8" w14:textId="77777777" w:rsidR="00F16A45" w:rsidRPr="000F1F50" w:rsidRDefault="00F16A45" w:rsidP="00481903">
            <w:pPr>
              <w:pStyle w:val="TableText"/>
              <w:spacing w:line="240" w:lineRule="auto"/>
              <w:jc w:val="right"/>
              <w:cnfStyle w:val="000000100000" w:firstRow="0" w:lastRow="0" w:firstColumn="0" w:lastColumn="0" w:oddVBand="0" w:evenVBand="0" w:oddHBand="1" w:evenHBand="0" w:firstRowFirstColumn="0" w:firstRowLastColumn="0" w:lastRowFirstColumn="0" w:lastRowLastColumn="0"/>
              <w:rPr>
                <w:sz w:val="12"/>
                <w:szCs w:val="12"/>
              </w:rPr>
            </w:pPr>
          </w:p>
        </w:tc>
        <w:tc>
          <w:tcPr>
            <w:tcW w:w="425" w:type="dxa"/>
          </w:tcPr>
          <w:p w14:paraId="1D6A7D14" w14:textId="77777777" w:rsidR="00F16A45" w:rsidRPr="000F1F50" w:rsidRDefault="00F16A45" w:rsidP="00481903">
            <w:pPr>
              <w:pStyle w:val="TableText"/>
              <w:spacing w:line="240" w:lineRule="auto"/>
              <w:jc w:val="right"/>
              <w:cnfStyle w:val="000000100000" w:firstRow="0" w:lastRow="0" w:firstColumn="0" w:lastColumn="0" w:oddVBand="0" w:evenVBand="0" w:oddHBand="1" w:evenHBand="0" w:firstRowFirstColumn="0" w:firstRowLastColumn="0" w:lastRowFirstColumn="0" w:lastRowLastColumn="0"/>
              <w:rPr>
                <w:sz w:val="12"/>
                <w:szCs w:val="12"/>
              </w:rPr>
            </w:pPr>
          </w:p>
        </w:tc>
        <w:tc>
          <w:tcPr>
            <w:tcW w:w="709" w:type="dxa"/>
          </w:tcPr>
          <w:p w14:paraId="194D1D3E" w14:textId="77777777" w:rsidR="00F16A45" w:rsidRPr="000F1F50" w:rsidRDefault="00F16A45" w:rsidP="00481903">
            <w:pPr>
              <w:pStyle w:val="TableText"/>
              <w:spacing w:line="240" w:lineRule="auto"/>
              <w:jc w:val="right"/>
              <w:cnfStyle w:val="000000100000" w:firstRow="0" w:lastRow="0" w:firstColumn="0" w:lastColumn="0" w:oddVBand="0" w:evenVBand="0" w:oddHBand="1" w:evenHBand="0" w:firstRowFirstColumn="0" w:firstRowLastColumn="0" w:lastRowFirstColumn="0" w:lastRowLastColumn="0"/>
              <w:rPr>
                <w:sz w:val="12"/>
                <w:szCs w:val="12"/>
              </w:rPr>
            </w:pPr>
          </w:p>
        </w:tc>
        <w:tc>
          <w:tcPr>
            <w:tcW w:w="425" w:type="dxa"/>
          </w:tcPr>
          <w:p w14:paraId="3E67971C" w14:textId="77777777" w:rsidR="00F16A45" w:rsidRPr="000F1F50" w:rsidRDefault="00F16A45" w:rsidP="00481903">
            <w:pPr>
              <w:pStyle w:val="TableText"/>
              <w:spacing w:line="240" w:lineRule="auto"/>
              <w:jc w:val="right"/>
              <w:cnfStyle w:val="000000100000" w:firstRow="0" w:lastRow="0" w:firstColumn="0" w:lastColumn="0" w:oddVBand="0" w:evenVBand="0" w:oddHBand="1" w:evenHBand="0" w:firstRowFirstColumn="0" w:firstRowLastColumn="0" w:lastRowFirstColumn="0" w:lastRowLastColumn="0"/>
              <w:rPr>
                <w:sz w:val="12"/>
                <w:szCs w:val="12"/>
              </w:rPr>
            </w:pPr>
          </w:p>
        </w:tc>
        <w:tc>
          <w:tcPr>
            <w:tcW w:w="709" w:type="dxa"/>
          </w:tcPr>
          <w:p w14:paraId="271CE0DE" w14:textId="77777777" w:rsidR="00F16A45" w:rsidRPr="000F1F50" w:rsidRDefault="00F16A45" w:rsidP="00481903">
            <w:pPr>
              <w:pStyle w:val="TableText"/>
              <w:spacing w:line="240" w:lineRule="auto"/>
              <w:jc w:val="right"/>
              <w:cnfStyle w:val="000000100000" w:firstRow="0" w:lastRow="0" w:firstColumn="0" w:lastColumn="0" w:oddVBand="0" w:evenVBand="0" w:oddHBand="1" w:evenHBand="0" w:firstRowFirstColumn="0" w:firstRowLastColumn="0" w:lastRowFirstColumn="0" w:lastRowLastColumn="0"/>
              <w:rPr>
                <w:sz w:val="12"/>
                <w:szCs w:val="12"/>
              </w:rPr>
            </w:pPr>
          </w:p>
        </w:tc>
        <w:tc>
          <w:tcPr>
            <w:tcW w:w="567" w:type="dxa"/>
          </w:tcPr>
          <w:p w14:paraId="19EB7A5E" w14:textId="77777777" w:rsidR="00F16A45" w:rsidRPr="000F1F50" w:rsidRDefault="00F16A45" w:rsidP="00481903">
            <w:pPr>
              <w:pStyle w:val="TableText"/>
              <w:spacing w:line="240" w:lineRule="auto"/>
              <w:jc w:val="right"/>
              <w:cnfStyle w:val="000000100000" w:firstRow="0" w:lastRow="0" w:firstColumn="0" w:lastColumn="0" w:oddVBand="0" w:evenVBand="0" w:oddHBand="1" w:evenHBand="0" w:firstRowFirstColumn="0" w:firstRowLastColumn="0" w:lastRowFirstColumn="0" w:lastRowLastColumn="0"/>
              <w:rPr>
                <w:sz w:val="12"/>
                <w:szCs w:val="12"/>
              </w:rPr>
            </w:pPr>
          </w:p>
        </w:tc>
        <w:tc>
          <w:tcPr>
            <w:tcW w:w="709" w:type="dxa"/>
          </w:tcPr>
          <w:p w14:paraId="79C23A31" w14:textId="77777777" w:rsidR="00F16A45" w:rsidRPr="000F1F50" w:rsidRDefault="00F16A45" w:rsidP="00481903">
            <w:pPr>
              <w:pStyle w:val="TableText"/>
              <w:spacing w:line="240" w:lineRule="auto"/>
              <w:jc w:val="right"/>
              <w:cnfStyle w:val="000000100000" w:firstRow="0" w:lastRow="0" w:firstColumn="0" w:lastColumn="0" w:oddVBand="0" w:evenVBand="0" w:oddHBand="1" w:evenHBand="0" w:firstRowFirstColumn="0" w:firstRowLastColumn="0" w:lastRowFirstColumn="0" w:lastRowLastColumn="0"/>
              <w:rPr>
                <w:sz w:val="12"/>
                <w:szCs w:val="12"/>
              </w:rPr>
            </w:pPr>
          </w:p>
        </w:tc>
        <w:tc>
          <w:tcPr>
            <w:tcW w:w="567" w:type="dxa"/>
            <w:tcBorders>
              <w:right w:val="single" w:sz="4" w:space="0" w:color="auto"/>
            </w:tcBorders>
          </w:tcPr>
          <w:p w14:paraId="2B3F6609" w14:textId="77777777" w:rsidR="00F16A45" w:rsidRPr="000F1F50" w:rsidRDefault="00F16A45" w:rsidP="00481903">
            <w:pPr>
              <w:pStyle w:val="TableText"/>
              <w:spacing w:line="240" w:lineRule="auto"/>
              <w:jc w:val="right"/>
              <w:cnfStyle w:val="000000100000" w:firstRow="0" w:lastRow="0" w:firstColumn="0" w:lastColumn="0" w:oddVBand="0" w:evenVBand="0" w:oddHBand="1" w:evenHBand="0" w:firstRowFirstColumn="0" w:firstRowLastColumn="0" w:lastRowFirstColumn="0" w:lastRowLastColumn="0"/>
              <w:rPr>
                <w:sz w:val="12"/>
                <w:szCs w:val="12"/>
              </w:rPr>
            </w:pPr>
          </w:p>
        </w:tc>
        <w:tc>
          <w:tcPr>
            <w:tcW w:w="662" w:type="dxa"/>
            <w:tcBorders>
              <w:left w:val="single" w:sz="4" w:space="0" w:color="auto"/>
            </w:tcBorders>
          </w:tcPr>
          <w:p w14:paraId="3A3A210A" w14:textId="77777777" w:rsidR="00F16A45" w:rsidRPr="000F1F50" w:rsidRDefault="00F16A45" w:rsidP="00481903">
            <w:pPr>
              <w:pStyle w:val="TableText"/>
              <w:spacing w:line="240" w:lineRule="auto"/>
              <w:jc w:val="right"/>
              <w:cnfStyle w:val="000000100000" w:firstRow="0" w:lastRow="0" w:firstColumn="0" w:lastColumn="0" w:oddVBand="0" w:evenVBand="0" w:oddHBand="1" w:evenHBand="0" w:firstRowFirstColumn="0" w:firstRowLastColumn="0" w:lastRowFirstColumn="0" w:lastRowLastColumn="0"/>
              <w:rPr>
                <w:sz w:val="12"/>
                <w:szCs w:val="12"/>
              </w:rPr>
            </w:pPr>
          </w:p>
        </w:tc>
        <w:tc>
          <w:tcPr>
            <w:tcW w:w="425" w:type="dxa"/>
          </w:tcPr>
          <w:p w14:paraId="63125832" w14:textId="77777777" w:rsidR="00F16A45" w:rsidRPr="000F1F50" w:rsidRDefault="00F16A45" w:rsidP="00481903">
            <w:pPr>
              <w:pStyle w:val="TableText"/>
              <w:spacing w:line="240" w:lineRule="auto"/>
              <w:jc w:val="right"/>
              <w:cnfStyle w:val="000000100000" w:firstRow="0" w:lastRow="0" w:firstColumn="0" w:lastColumn="0" w:oddVBand="0" w:evenVBand="0" w:oddHBand="1" w:evenHBand="0" w:firstRowFirstColumn="0" w:firstRowLastColumn="0" w:lastRowFirstColumn="0" w:lastRowLastColumn="0"/>
              <w:rPr>
                <w:sz w:val="12"/>
                <w:szCs w:val="12"/>
              </w:rPr>
            </w:pPr>
          </w:p>
        </w:tc>
        <w:tc>
          <w:tcPr>
            <w:tcW w:w="755" w:type="dxa"/>
          </w:tcPr>
          <w:p w14:paraId="51CE4EA7" w14:textId="77777777" w:rsidR="00F16A45" w:rsidRPr="000F1F50" w:rsidRDefault="00F16A45" w:rsidP="00481903">
            <w:pPr>
              <w:pStyle w:val="TableText"/>
              <w:spacing w:line="240" w:lineRule="auto"/>
              <w:jc w:val="right"/>
              <w:cnfStyle w:val="000000100000" w:firstRow="0" w:lastRow="0" w:firstColumn="0" w:lastColumn="0" w:oddVBand="0" w:evenVBand="0" w:oddHBand="1" w:evenHBand="0" w:firstRowFirstColumn="0" w:firstRowLastColumn="0" w:lastRowFirstColumn="0" w:lastRowLastColumn="0"/>
              <w:rPr>
                <w:sz w:val="12"/>
                <w:szCs w:val="12"/>
              </w:rPr>
            </w:pPr>
          </w:p>
        </w:tc>
        <w:tc>
          <w:tcPr>
            <w:tcW w:w="425" w:type="dxa"/>
          </w:tcPr>
          <w:p w14:paraId="72AC4A5C" w14:textId="77777777" w:rsidR="00F16A45" w:rsidRPr="000F1F50" w:rsidRDefault="00F16A45" w:rsidP="00481903">
            <w:pPr>
              <w:pStyle w:val="TableText"/>
              <w:spacing w:line="240" w:lineRule="auto"/>
              <w:jc w:val="right"/>
              <w:cnfStyle w:val="000000100000" w:firstRow="0" w:lastRow="0" w:firstColumn="0" w:lastColumn="0" w:oddVBand="0" w:evenVBand="0" w:oddHBand="1" w:evenHBand="0" w:firstRowFirstColumn="0" w:firstRowLastColumn="0" w:lastRowFirstColumn="0" w:lastRowLastColumn="0"/>
              <w:rPr>
                <w:sz w:val="12"/>
                <w:szCs w:val="12"/>
              </w:rPr>
            </w:pPr>
          </w:p>
        </w:tc>
        <w:tc>
          <w:tcPr>
            <w:tcW w:w="709" w:type="dxa"/>
          </w:tcPr>
          <w:p w14:paraId="56ADA8A0" w14:textId="77777777" w:rsidR="00F16A45" w:rsidRPr="000F1F50" w:rsidRDefault="00F16A45" w:rsidP="00481903">
            <w:pPr>
              <w:pStyle w:val="TableText"/>
              <w:spacing w:line="240" w:lineRule="auto"/>
              <w:jc w:val="right"/>
              <w:cnfStyle w:val="000000100000" w:firstRow="0" w:lastRow="0" w:firstColumn="0" w:lastColumn="0" w:oddVBand="0" w:evenVBand="0" w:oddHBand="1" w:evenHBand="0" w:firstRowFirstColumn="0" w:firstRowLastColumn="0" w:lastRowFirstColumn="0" w:lastRowLastColumn="0"/>
              <w:rPr>
                <w:sz w:val="12"/>
                <w:szCs w:val="12"/>
              </w:rPr>
            </w:pPr>
          </w:p>
        </w:tc>
        <w:tc>
          <w:tcPr>
            <w:tcW w:w="567" w:type="dxa"/>
          </w:tcPr>
          <w:p w14:paraId="5F2AF00B" w14:textId="77777777" w:rsidR="00F16A45" w:rsidRPr="000F1F50" w:rsidRDefault="00F16A45" w:rsidP="00481903">
            <w:pPr>
              <w:pStyle w:val="TableText"/>
              <w:spacing w:line="240" w:lineRule="auto"/>
              <w:jc w:val="right"/>
              <w:cnfStyle w:val="000000100000" w:firstRow="0" w:lastRow="0" w:firstColumn="0" w:lastColumn="0" w:oddVBand="0" w:evenVBand="0" w:oddHBand="1" w:evenHBand="0" w:firstRowFirstColumn="0" w:firstRowLastColumn="0" w:lastRowFirstColumn="0" w:lastRowLastColumn="0"/>
              <w:rPr>
                <w:sz w:val="12"/>
                <w:szCs w:val="12"/>
              </w:rPr>
            </w:pPr>
          </w:p>
        </w:tc>
        <w:tc>
          <w:tcPr>
            <w:tcW w:w="709" w:type="dxa"/>
          </w:tcPr>
          <w:p w14:paraId="0D47C1BF" w14:textId="77777777" w:rsidR="00F16A45" w:rsidRPr="000F1F50" w:rsidRDefault="00F16A45" w:rsidP="00481903">
            <w:pPr>
              <w:pStyle w:val="TableText"/>
              <w:spacing w:line="240" w:lineRule="auto"/>
              <w:jc w:val="right"/>
              <w:cnfStyle w:val="000000100000" w:firstRow="0" w:lastRow="0" w:firstColumn="0" w:lastColumn="0" w:oddVBand="0" w:evenVBand="0" w:oddHBand="1" w:evenHBand="0" w:firstRowFirstColumn="0" w:firstRowLastColumn="0" w:lastRowFirstColumn="0" w:lastRowLastColumn="0"/>
              <w:rPr>
                <w:sz w:val="12"/>
                <w:szCs w:val="12"/>
              </w:rPr>
            </w:pPr>
          </w:p>
        </w:tc>
        <w:tc>
          <w:tcPr>
            <w:tcW w:w="548" w:type="dxa"/>
            <w:tcBorders>
              <w:right w:val="single" w:sz="4" w:space="0" w:color="auto"/>
            </w:tcBorders>
          </w:tcPr>
          <w:p w14:paraId="14E07782" w14:textId="77777777" w:rsidR="00F16A45" w:rsidRPr="000F1F50" w:rsidRDefault="00F16A45" w:rsidP="00481903">
            <w:pPr>
              <w:pStyle w:val="TableText"/>
              <w:spacing w:line="240" w:lineRule="auto"/>
              <w:jc w:val="right"/>
              <w:cnfStyle w:val="000000100000" w:firstRow="0" w:lastRow="0" w:firstColumn="0" w:lastColumn="0" w:oddVBand="0" w:evenVBand="0" w:oddHBand="1" w:evenHBand="0" w:firstRowFirstColumn="0" w:firstRowLastColumn="0" w:lastRowFirstColumn="0" w:lastRowLastColumn="0"/>
              <w:rPr>
                <w:sz w:val="12"/>
                <w:szCs w:val="12"/>
              </w:rPr>
            </w:pPr>
          </w:p>
        </w:tc>
        <w:tc>
          <w:tcPr>
            <w:tcW w:w="823" w:type="dxa"/>
            <w:tcBorders>
              <w:left w:val="single" w:sz="4" w:space="0" w:color="auto"/>
            </w:tcBorders>
          </w:tcPr>
          <w:p w14:paraId="025575C5" w14:textId="77777777" w:rsidR="00F16A45" w:rsidRPr="000F1F50" w:rsidRDefault="00F16A45" w:rsidP="00481903">
            <w:pPr>
              <w:pStyle w:val="TableText"/>
              <w:spacing w:line="240" w:lineRule="auto"/>
              <w:jc w:val="right"/>
              <w:cnfStyle w:val="000000100000" w:firstRow="0" w:lastRow="0" w:firstColumn="0" w:lastColumn="0" w:oddVBand="0" w:evenVBand="0" w:oddHBand="1" w:evenHBand="0" w:firstRowFirstColumn="0" w:firstRowLastColumn="0" w:lastRowFirstColumn="0" w:lastRowLastColumn="0"/>
              <w:rPr>
                <w:sz w:val="12"/>
                <w:szCs w:val="12"/>
              </w:rPr>
            </w:pPr>
          </w:p>
        </w:tc>
        <w:tc>
          <w:tcPr>
            <w:tcW w:w="851" w:type="dxa"/>
          </w:tcPr>
          <w:p w14:paraId="2393BB3E" w14:textId="77777777" w:rsidR="00F16A45" w:rsidRPr="000F1F50" w:rsidRDefault="00F16A45" w:rsidP="00481903">
            <w:pPr>
              <w:pStyle w:val="TableText"/>
              <w:spacing w:line="240" w:lineRule="auto"/>
              <w:jc w:val="right"/>
              <w:cnfStyle w:val="000000100000" w:firstRow="0" w:lastRow="0" w:firstColumn="0" w:lastColumn="0" w:oddVBand="0" w:evenVBand="0" w:oddHBand="1" w:evenHBand="0" w:firstRowFirstColumn="0" w:firstRowLastColumn="0" w:lastRowFirstColumn="0" w:lastRowLastColumn="0"/>
              <w:rPr>
                <w:sz w:val="12"/>
                <w:szCs w:val="12"/>
              </w:rPr>
            </w:pPr>
          </w:p>
        </w:tc>
        <w:tc>
          <w:tcPr>
            <w:tcW w:w="1276" w:type="dxa"/>
          </w:tcPr>
          <w:p w14:paraId="75830799" w14:textId="77777777" w:rsidR="00F16A45" w:rsidRPr="000F1F50" w:rsidRDefault="00F16A45" w:rsidP="00481903">
            <w:pPr>
              <w:pStyle w:val="TableText"/>
              <w:spacing w:line="240" w:lineRule="auto"/>
              <w:jc w:val="right"/>
              <w:cnfStyle w:val="000000100000" w:firstRow="0" w:lastRow="0" w:firstColumn="0" w:lastColumn="0" w:oddVBand="0" w:evenVBand="0" w:oddHBand="1" w:evenHBand="0" w:firstRowFirstColumn="0" w:firstRowLastColumn="0" w:lastRowFirstColumn="0" w:lastRowLastColumn="0"/>
              <w:rPr>
                <w:sz w:val="12"/>
                <w:szCs w:val="12"/>
              </w:rPr>
            </w:pPr>
          </w:p>
        </w:tc>
        <w:tc>
          <w:tcPr>
            <w:tcW w:w="1038" w:type="dxa"/>
          </w:tcPr>
          <w:p w14:paraId="3EC773C4" w14:textId="77777777" w:rsidR="00F16A45" w:rsidRPr="000F1F50" w:rsidRDefault="00F16A45" w:rsidP="00481903">
            <w:pPr>
              <w:pStyle w:val="TableText"/>
              <w:spacing w:line="240" w:lineRule="auto"/>
              <w:jc w:val="right"/>
              <w:cnfStyle w:val="000000100000" w:firstRow="0" w:lastRow="0" w:firstColumn="0" w:lastColumn="0" w:oddVBand="0" w:evenVBand="0" w:oddHBand="1" w:evenHBand="0" w:firstRowFirstColumn="0" w:firstRowLastColumn="0" w:lastRowFirstColumn="0" w:lastRowLastColumn="0"/>
              <w:rPr>
                <w:sz w:val="12"/>
                <w:szCs w:val="12"/>
              </w:rPr>
            </w:pPr>
          </w:p>
        </w:tc>
      </w:tr>
      <w:tr w:rsidR="0088420A" w:rsidRPr="000F1F50" w14:paraId="7B7E8A54" w14:textId="77777777" w:rsidTr="0088420A">
        <w:tc>
          <w:tcPr>
            <w:cnfStyle w:val="001000000000" w:firstRow="0" w:lastRow="0" w:firstColumn="1" w:lastColumn="0" w:oddVBand="0" w:evenVBand="0" w:oddHBand="0" w:evenHBand="0" w:firstRowFirstColumn="0" w:firstRowLastColumn="0" w:lastRowFirstColumn="0" w:lastRowLastColumn="0"/>
            <w:tcW w:w="237" w:type="dxa"/>
          </w:tcPr>
          <w:p w14:paraId="728830D9" w14:textId="77777777" w:rsidR="00F16A45" w:rsidRPr="000F1F50" w:rsidRDefault="00F16A45" w:rsidP="00F16A45">
            <w:pPr>
              <w:pStyle w:val="TableText"/>
              <w:spacing w:line="240" w:lineRule="auto"/>
              <w:rPr>
                <w:sz w:val="12"/>
                <w:szCs w:val="12"/>
              </w:rPr>
            </w:pPr>
          </w:p>
        </w:tc>
        <w:tc>
          <w:tcPr>
            <w:tcW w:w="756" w:type="dxa"/>
            <w:tcBorders>
              <w:right w:val="single" w:sz="4" w:space="0" w:color="auto"/>
            </w:tcBorders>
          </w:tcPr>
          <w:p w14:paraId="6DC6E466" w14:textId="42E7C9CE" w:rsidR="00F16A45" w:rsidRPr="000F1F50" w:rsidRDefault="00F16A45" w:rsidP="00F16A45">
            <w:pPr>
              <w:pStyle w:val="TableText"/>
              <w:spacing w:line="240" w:lineRule="auto"/>
              <w:cnfStyle w:val="000000000000" w:firstRow="0" w:lastRow="0" w:firstColumn="0" w:lastColumn="0" w:oddVBand="0" w:evenVBand="0" w:oddHBand="0" w:evenHBand="0" w:firstRowFirstColumn="0" w:firstRowLastColumn="0" w:lastRowFirstColumn="0" w:lastRowLastColumn="0"/>
              <w:rPr>
                <w:sz w:val="12"/>
                <w:szCs w:val="12"/>
              </w:rPr>
            </w:pPr>
            <w:r w:rsidRPr="000F1F50">
              <w:rPr>
                <w:sz w:val="12"/>
                <w:szCs w:val="12"/>
              </w:rPr>
              <w:t>13/2/</w:t>
            </w:r>
            <w:r w:rsidR="00DE4991" w:rsidRPr="000F1F50">
              <w:rPr>
                <w:sz w:val="12"/>
                <w:szCs w:val="12"/>
              </w:rPr>
              <w:t>20</w:t>
            </w:r>
            <w:r w:rsidR="00DE4991">
              <w:rPr>
                <w:sz w:val="12"/>
                <w:szCs w:val="12"/>
              </w:rPr>
              <w:t>22</w:t>
            </w:r>
          </w:p>
        </w:tc>
        <w:tc>
          <w:tcPr>
            <w:tcW w:w="755" w:type="dxa"/>
            <w:tcBorders>
              <w:left w:val="single" w:sz="4" w:space="0" w:color="auto"/>
            </w:tcBorders>
          </w:tcPr>
          <w:p w14:paraId="023508BB" w14:textId="77777777" w:rsidR="00F16A45" w:rsidRPr="000F1F50" w:rsidRDefault="00F16A45" w:rsidP="00481903">
            <w:pPr>
              <w:pStyle w:val="TableText"/>
              <w:spacing w:line="240" w:lineRule="auto"/>
              <w:jc w:val="right"/>
              <w:cnfStyle w:val="000000000000" w:firstRow="0" w:lastRow="0" w:firstColumn="0" w:lastColumn="0" w:oddVBand="0" w:evenVBand="0" w:oddHBand="0" w:evenHBand="0" w:firstRowFirstColumn="0" w:firstRowLastColumn="0" w:lastRowFirstColumn="0" w:lastRowLastColumn="0"/>
              <w:rPr>
                <w:sz w:val="12"/>
                <w:szCs w:val="12"/>
              </w:rPr>
            </w:pPr>
          </w:p>
        </w:tc>
        <w:tc>
          <w:tcPr>
            <w:tcW w:w="425" w:type="dxa"/>
          </w:tcPr>
          <w:p w14:paraId="479CA229" w14:textId="77777777" w:rsidR="00F16A45" w:rsidRPr="000F1F50" w:rsidRDefault="00F16A45" w:rsidP="00481903">
            <w:pPr>
              <w:pStyle w:val="TableText"/>
              <w:spacing w:line="240" w:lineRule="auto"/>
              <w:jc w:val="right"/>
              <w:cnfStyle w:val="000000000000" w:firstRow="0" w:lastRow="0" w:firstColumn="0" w:lastColumn="0" w:oddVBand="0" w:evenVBand="0" w:oddHBand="0" w:evenHBand="0" w:firstRowFirstColumn="0" w:firstRowLastColumn="0" w:lastRowFirstColumn="0" w:lastRowLastColumn="0"/>
              <w:rPr>
                <w:sz w:val="12"/>
                <w:szCs w:val="12"/>
              </w:rPr>
            </w:pPr>
          </w:p>
        </w:tc>
        <w:tc>
          <w:tcPr>
            <w:tcW w:w="709" w:type="dxa"/>
          </w:tcPr>
          <w:p w14:paraId="5F05C986" w14:textId="77777777" w:rsidR="00F16A45" w:rsidRPr="000F1F50" w:rsidRDefault="00F16A45" w:rsidP="00481903">
            <w:pPr>
              <w:pStyle w:val="TableText"/>
              <w:spacing w:line="240" w:lineRule="auto"/>
              <w:jc w:val="right"/>
              <w:cnfStyle w:val="000000000000" w:firstRow="0" w:lastRow="0" w:firstColumn="0" w:lastColumn="0" w:oddVBand="0" w:evenVBand="0" w:oddHBand="0" w:evenHBand="0" w:firstRowFirstColumn="0" w:firstRowLastColumn="0" w:lastRowFirstColumn="0" w:lastRowLastColumn="0"/>
              <w:rPr>
                <w:sz w:val="12"/>
                <w:szCs w:val="12"/>
              </w:rPr>
            </w:pPr>
          </w:p>
        </w:tc>
        <w:tc>
          <w:tcPr>
            <w:tcW w:w="425" w:type="dxa"/>
          </w:tcPr>
          <w:p w14:paraId="7C110739" w14:textId="77777777" w:rsidR="00F16A45" w:rsidRPr="000F1F50" w:rsidRDefault="00F16A45" w:rsidP="00481903">
            <w:pPr>
              <w:pStyle w:val="TableText"/>
              <w:spacing w:line="240" w:lineRule="auto"/>
              <w:jc w:val="right"/>
              <w:cnfStyle w:val="000000000000" w:firstRow="0" w:lastRow="0" w:firstColumn="0" w:lastColumn="0" w:oddVBand="0" w:evenVBand="0" w:oddHBand="0" w:evenHBand="0" w:firstRowFirstColumn="0" w:firstRowLastColumn="0" w:lastRowFirstColumn="0" w:lastRowLastColumn="0"/>
              <w:rPr>
                <w:sz w:val="12"/>
                <w:szCs w:val="12"/>
              </w:rPr>
            </w:pPr>
          </w:p>
        </w:tc>
        <w:tc>
          <w:tcPr>
            <w:tcW w:w="709" w:type="dxa"/>
          </w:tcPr>
          <w:p w14:paraId="344F04FA" w14:textId="77777777" w:rsidR="00F16A45" w:rsidRPr="000F1F50" w:rsidRDefault="00F16A45" w:rsidP="00481903">
            <w:pPr>
              <w:pStyle w:val="TableText"/>
              <w:spacing w:line="240" w:lineRule="auto"/>
              <w:jc w:val="right"/>
              <w:cnfStyle w:val="000000000000" w:firstRow="0" w:lastRow="0" w:firstColumn="0" w:lastColumn="0" w:oddVBand="0" w:evenVBand="0" w:oddHBand="0" w:evenHBand="0" w:firstRowFirstColumn="0" w:firstRowLastColumn="0" w:lastRowFirstColumn="0" w:lastRowLastColumn="0"/>
              <w:rPr>
                <w:sz w:val="12"/>
                <w:szCs w:val="12"/>
              </w:rPr>
            </w:pPr>
          </w:p>
        </w:tc>
        <w:tc>
          <w:tcPr>
            <w:tcW w:w="567" w:type="dxa"/>
          </w:tcPr>
          <w:p w14:paraId="567EBA9E" w14:textId="77777777" w:rsidR="00F16A45" w:rsidRPr="000F1F50" w:rsidRDefault="00F16A45" w:rsidP="00481903">
            <w:pPr>
              <w:pStyle w:val="TableText"/>
              <w:spacing w:line="240" w:lineRule="auto"/>
              <w:jc w:val="right"/>
              <w:cnfStyle w:val="000000000000" w:firstRow="0" w:lastRow="0" w:firstColumn="0" w:lastColumn="0" w:oddVBand="0" w:evenVBand="0" w:oddHBand="0" w:evenHBand="0" w:firstRowFirstColumn="0" w:firstRowLastColumn="0" w:lastRowFirstColumn="0" w:lastRowLastColumn="0"/>
              <w:rPr>
                <w:sz w:val="12"/>
                <w:szCs w:val="12"/>
              </w:rPr>
            </w:pPr>
          </w:p>
        </w:tc>
        <w:tc>
          <w:tcPr>
            <w:tcW w:w="709" w:type="dxa"/>
          </w:tcPr>
          <w:p w14:paraId="56CA2A65" w14:textId="77777777" w:rsidR="00F16A45" w:rsidRPr="000F1F50" w:rsidRDefault="00F16A45" w:rsidP="00481903">
            <w:pPr>
              <w:pStyle w:val="TableText"/>
              <w:spacing w:line="240" w:lineRule="auto"/>
              <w:jc w:val="right"/>
              <w:cnfStyle w:val="000000000000" w:firstRow="0" w:lastRow="0" w:firstColumn="0" w:lastColumn="0" w:oddVBand="0" w:evenVBand="0" w:oddHBand="0" w:evenHBand="0" w:firstRowFirstColumn="0" w:firstRowLastColumn="0" w:lastRowFirstColumn="0" w:lastRowLastColumn="0"/>
              <w:rPr>
                <w:sz w:val="12"/>
                <w:szCs w:val="12"/>
              </w:rPr>
            </w:pPr>
          </w:p>
        </w:tc>
        <w:tc>
          <w:tcPr>
            <w:tcW w:w="567" w:type="dxa"/>
            <w:tcBorders>
              <w:right w:val="single" w:sz="4" w:space="0" w:color="auto"/>
            </w:tcBorders>
          </w:tcPr>
          <w:p w14:paraId="24C94D38" w14:textId="77777777" w:rsidR="00F16A45" w:rsidRPr="000F1F50" w:rsidRDefault="00F16A45" w:rsidP="00481903">
            <w:pPr>
              <w:pStyle w:val="TableText"/>
              <w:spacing w:line="240" w:lineRule="auto"/>
              <w:jc w:val="right"/>
              <w:cnfStyle w:val="000000000000" w:firstRow="0" w:lastRow="0" w:firstColumn="0" w:lastColumn="0" w:oddVBand="0" w:evenVBand="0" w:oddHBand="0" w:evenHBand="0" w:firstRowFirstColumn="0" w:firstRowLastColumn="0" w:lastRowFirstColumn="0" w:lastRowLastColumn="0"/>
              <w:rPr>
                <w:sz w:val="12"/>
                <w:szCs w:val="12"/>
              </w:rPr>
            </w:pPr>
          </w:p>
        </w:tc>
        <w:tc>
          <w:tcPr>
            <w:tcW w:w="662" w:type="dxa"/>
            <w:tcBorders>
              <w:left w:val="single" w:sz="4" w:space="0" w:color="auto"/>
            </w:tcBorders>
          </w:tcPr>
          <w:p w14:paraId="59A41FBB" w14:textId="77777777" w:rsidR="00F16A45" w:rsidRPr="000F1F50" w:rsidRDefault="00F16A45" w:rsidP="00481903">
            <w:pPr>
              <w:pStyle w:val="TableText"/>
              <w:spacing w:line="240" w:lineRule="auto"/>
              <w:jc w:val="right"/>
              <w:cnfStyle w:val="000000000000" w:firstRow="0" w:lastRow="0" w:firstColumn="0" w:lastColumn="0" w:oddVBand="0" w:evenVBand="0" w:oddHBand="0" w:evenHBand="0" w:firstRowFirstColumn="0" w:firstRowLastColumn="0" w:lastRowFirstColumn="0" w:lastRowLastColumn="0"/>
              <w:rPr>
                <w:sz w:val="12"/>
                <w:szCs w:val="12"/>
              </w:rPr>
            </w:pPr>
          </w:p>
        </w:tc>
        <w:tc>
          <w:tcPr>
            <w:tcW w:w="425" w:type="dxa"/>
          </w:tcPr>
          <w:p w14:paraId="0862203B" w14:textId="77777777" w:rsidR="00F16A45" w:rsidRPr="000F1F50" w:rsidRDefault="00F16A45" w:rsidP="00481903">
            <w:pPr>
              <w:pStyle w:val="TableText"/>
              <w:spacing w:line="240" w:lineRule="auto"/>
              <w:jc w:val="right"/>
              <w:cnfStyle w:val="000000000000" w:firstRow="0" w:lastRow="0" w:firstColumn="0" w:lastColumn="0" w:oddVBand="0" w:evenVBand="0" w:oddHBand="0" w:evenHBand="0" w:firstRowFirstColumn="0" w:firstRowLastColumn="0" w:lastRowFirstColumn="0" w:lastRowLastColumn="0"/>
              <w:rPr>
                <w:sz w:val="12"/>
                <w:szCs w:val="12"/>
              </w:rPr>
            </w:pPr>
          </w:p>
        </w:tc>
        <w:tc>
          <w:tcPr>
            <w:tcW w:w="755" w:type="dxa"/>
          </w:tcPr>
          <w:p w14:paraId="377B1C00" w14:textId="77777777" w:rsidR="00F16A45" w:rsidRPr="000F1F50" w:rsidRDefault="00F16A45" w:rsidP="00481903">
            <w:pPr>
              <w:pStyle w:val="TableText"/>
              <w:spacing w:line="240" w:lineRule="auto"/>
              <w:jc w:val="right"/>
              <w:cnfStyle w:val="000000000000" w:firstRow="0" w:lastRow="0" w:firstColumn="0" w:lastColumn="0" w:oddVBand="0" w:evenVBand="0" w:oddHBand="0" w:evenHBand="0" w:firstRowFirstColumn="0" w:firstRowLastColumn="0" w:lastRowFirstColumn="0" w:lastRowLastColumn="0"/>
              <w:rPr>
                <w:sz w:val="12"/>
                <w:szCs w:val="12"/>
              </w:rPr>
            </w:pPr>
          </w:p>
        </w:tc>
        <w:tc>
          <w:tcPr>
            <w:tcW w:w="425" w:type="dxa"/>
          </w:tcPr>
          <w:p w14:paraId="08EDF80E" w14:textId="77777777" w:rsidR="00F16A45" w:rsidRPr="000F1F50" w:rsidRDefault="00F16A45" w:rsidP="00481903">
            <w:pPr>
              <w:pStyle w:val="TableText"/>
              <w:spacing w:line="240" w:lineRule="auto"/>
              <w:jc w:val="right"/>
              <w:cnfStyle w:val="000000000000" w:firstRow="0" w:lastRow="0" w:firstColumn="0" w:lastColumn="0" w:oddVBand="0" w:evenVBand="0" w:oddHBand="0" w:evenHBand="0" w:firstRowFirstColumn="0" w:firstRowLastColumn="0" w:lastRowFirstColumn="0" w:lastRowLastColumn="0"/>
              <w:rPr>
                <w:sz w:val="12"/>
                <w:szCs w:val="12"/>
              </w:rPr>
            </w:pPr>
          </w:p>
        </w:tc>
        <w:tc>
          <w:tcPr>
            <w:tcW w:w="709" w:type="dxa"/>
          </w:tcPr>
          <w:p w14:paraId="2C51F293" w14:textId="77777777" w:rsidR="00F16A45" w:rsidRPr="000F1F50" w:rsidRDefault="00F16A45" w:rsidP="00481903">
            <w:pPr>
              <w:pStyle w:val="TableText"/>
              <w:spacing w:line="240" w:lineRule="auto"/>
              <w:jc w:val="right"/>
              <w:cnfStyle w:val="000000000000" w:firstRow="0" w:lastRow="0" w:firstColumn="0" w:lastColumn="0" w:oddVBand="0" w:evenVBand="0" w:oddHBand="0" w:evenHBand="0" w:firstRowFirstColumn="0" w:firstRowLastColumn="0" w:lastRowFirstColumn="0" w:lastRowLastColumn="0"/>
              <w:rPr>
                <w:sz w:val="12"/>
                <w:szCs w:val="12"/>
              </w:rPr>
            </w:pPr>
          </w:p>
        </w:tc>
        <w:tc>
          <w:tcPr>
            <w:tcW w:w="567" w:type="dxa"/>
          </w:tcPr>
          <w:p w14:paraId="5ED3C1CD" w14:textId="77777777" w:rsidR="00F16A45" w:rsidRPr="000F1F50" w:rsidRDefault="00F16A45" w:rsidP="00481903">
            <w:pPr>
              <w:pStyle w:val="TableText"/>
              <w:spacing w:line="240" w:lineRule="auto"/>
              <w:jc w:val="right"/>
              <w:cnfStyle w:val="000000000000" w:firstRow="0" w:lastRow="0" w:firstColumn="0" w:lastColumn="0" w:oddVBand="0" w:evenVBand="0" w:oddHBand="0" w:evenHBand="0" w:firstRowFirstColumn="0" w:firstRowLastColumn="0" w:lastRowFirstColumn="0" w:lastRowLastColumn="0"/>
              <w:rPr>
                <w:sz w:val="12"/>
                <w:szCs w:val="12"/>
              </w:rPr>
            </w:pPr>
          </w:p>
        </w:tc>
        <w:tc>
          <w:tcPr>
            <w:tcW w:w="709" w:type="dxa"/>
          </w:tcPr>
          <w:p w14:paraId="7CBEAB7D" w14:textId="77777777" w:rsidR="00F16A45" w:rsidRPr="000F1F50" w:rsidRDefault="00F16A45" w:rsidP="00481903">
            <w:pPr>
              <w:pStyle w:val="TableText"/>
              <w:spacing w:line="240" w:lineRule="auto"/>
              <w:jc w:val="right"/>
              <w:cnfStyle w:val="000000000000" w:firstRow="0" w:lastRow="0" w:firstColumn="0" w:lastColumn="0" w:oddVBand="0" w:evenVBand="0" w:oddHBand="0" w:evenHBand="0" w:firstRowFirstColumn="0" w:firstRowLastColumn="0" w:lastRowFirstColumn="0" w:lastRowLastColumn="0"/>
              <w:rPr>
                <w:sz w:val="12"/>
                <w:szCs w:val="12"/>
              </w:rPr>
            </w:pPr>
          </w:p>
        </w:tc>
        <w:tc>
          <w:tcPr>
            <w:tcW w:w="548" w:type="dxa"/>
            <w:tcBorders>
              <w:right w:val="single" w:sz="4" w:space="0" w:color="auto"/>
            </w:tcBorders>
          </w:tcPr>
          <w:p w14:paraId="39C5C855" w14:textId="77777777" w:rsidR="00F16A45" w:rsidRPr="000F1F50" w:rsidRDefault="00F16A45" w:rsidP="00481903">
            <w:pPr>
              <w:pStyle w:val="TableText"/>
              <w:spacing w:line="240" w:lineRule="auto"/>
              <w:jc w:val="right"/>
              <w:cnfStyle w:val="000000000000" w:firstRow="0" w:lastRow="0" w:firstColumn="0" w:lastColumn="0" w:oddVBand="0" w:evenVBand="0" w:oddHBand="0" w:evenHBand="0" w:firstRowFirstColumn="0" w:firstRowLastColumn="0" w:lastRowFirstColumn="0" w:lastRowLastColumn="0"/>
              <w:rPr>
                <w:sz w:val="12"/>
                <w:szCs w:val="12"/>
              </w:rPr>
            </w:pPr>
          </w:p>
        </w:tc>
        <w:tc>
          <w:tcPr>
            <w:tcW w:w="823" w:type="dxa"/>
            <w:tcBorders>
              <w:left w:val="single" w:sz="4" w:space="0" w:color="auto"/>
            </w:tcBorders>
          </w:tcPr>
          <w:p w14:paraId="73A32A56" w14:textId="77777777" w:rsidR="00F16A45" w:rsidRPr="000F1F50" w:rsidRDefault="00F16A45" w:rsidP="00481903">
            <w:pPr>
              <w:pStyle w:val="TableText"/>
              <w:spacing w:line="240" w:lineRule="auto"/>
              <w:jc w:val="right"/>
              <w:cnfStyle w:val="000000000000" w:firstRow="0" w:lastRow="0" w:firstColumn="0" w:lastColumn="0" w:oddVBand="0" w:evenVBand="0" w:oddHBand="0" w:evenHBand="0" w:firstRowFirstColumn="0" w:firstRowLastColumn="0" w:lastRowFirstColumn="0" w:lastRowLastColumn="0"/>
              <w:rPr>
                <w:sz w:val="12"/>
                <w:szCs w:val="12"/>
              </w:rPr>
            </w:pPr>
          </w:p>
        </w:tc>
        <w:tc>
          <w:tcPr>
            <w:tcW w:w="851" w:type="dxa"/>
          </w:tcPr>
          <w:p w14:paraId="559C0DB1" w14:textId="77777777" w:rsidR="00F16A45" w:rsidRPr="000F1F50" w:rsidRDefault="00F16A45" w:rsidP="00481903">
            <w:pPr>
              <w:pStyle w:val="TableText"/>
              <w:spacing w:line="240" w:lineRule="auto"/>
              <w:jc w:val="right"/>
              <w:cnfStyle w:val="000000000000" w:firstRow="0" w:lastRow="0" w:firstColumn="0" w:lastColumn="0" w:oddVBand="0" w:evenVBand="0" w:oddHBand="0" w:evenHBand="0" w:firstRowFirstColumn="0" w:firstRowLastColumn="0" w:lastRowFirstColumn="0" w:lastRowLastColumn="0"/>
              <w:rPr>
                <w:sz w:val="12"/>
                <w:szCs w:val="12"/>
              </w:rPr>
            </w:pPr>
          </w:p>
        </w:tc>
        <w:tc>
          <w:tcPr>
            <w:tcW w:w="1276" w:type="dxa"/>
          </w:tcPr>
          <w:p w14:paraId="5EC6213B" w14:textId="77777777" w:rsidR="00F16A45" w:rsidRPr="000F1F50" w:rsidRDefault="00F16A45" w:rsidP="00481903">
            <w:pPr>
              <w:pStyle w:val="TableText"/>
              <w:spacing w:line="240" w:lineRule="auto"/>
              <w:jc w:val="right"/>
              <w:cnfStyle w:val="000000000000" w:firstRow="0" w:lastRow="0" w:firstColumn="0" w:lastColumn="0" w:oddVBand="0" w:evenVBand="0" w:oddHBand="0" w:evenHBand="0" w:firstRowFirstColumn="0" w:firstRowLastColumn="0" w:lastRowFirstColumn="0" w:lastRowLastColumn="0"/>
              <w:rPr>
                <w:sz w:val="12"/>
                <w:szCs w:val="12"/>
              </w:rPr>
            </w:pPr>
          </w:p>
        </w:tc>
        <w:tc>
          <w:tcPr>
            <w:tcW w:w="1038" w:type="dxa"/>
          </w:tcPr>
          <w:p w14:paraId="71F5BDC8" w14:textId="77777777" w:rsidR="00F16A45" w:rsidRPr="000F1F50" w:rsidRDefault="00F16A45" w:rsidP="00481903">
            <w:pPr>
              <w:pStyle w:val="TableText"/>
              <w:spacing w:line="240" w:lineRule="auto"/>
              <w:jc w:val="right"/>
              <w:cnfStyle w:val="000000000000" w:firstRow="0" w:lastRow="0" w:firstColumn="0" w:lastColumn="0" w:oddVBand="0" w:evenVBand="0" w:oddHBand="0" w:evenHBand="0" w:firstRowFirstColumn="0" w:firstRowLastColumn="0" w:lastRowFirstColumn="0" w:lastRowLastColumn="0"/>
              <w:rPr>
                <w:sz w:val="12"/>
                <w:szCs w:val="12"/>
              </w:rPr>
            </w:pPr>
          </w:p>
        </w:tc>
      </w:tr>
      <w:tr w:rsidR="0088420A" w:rsidRPr="000F1F50" w14:paraId="147A688B" w14:textId="77777777" w:rsidTr="008842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 w:type="dxa"/>
          </w:tcPr>
          <w:p w14:paraId="5A4BA812" w14:textId="77777777" w:rsidR="00F16A45" w:rsidRPr="000F1F50" w:rsidRDefault="00F16A45" w:rsidP="00F16A45">
            <w:pPr>
              <w:pStyle w:val="TableText"/>
              <w:spacing w:line="240" w:lineRule="auto"/>
              <w:rPr>
                <w:sz w:val="12"/>
                <w:szCs w:val="12"/>
              </w:rPr>
            </w:pPr>
          </w:p>
        </w:tc>
        <w:tc>
          <w:tcPr>
            <w:tcW w:w="756" w:type="dxa"/>
            <w:tcBorders>
              <w:right w:val="single" w:sz="4" w:space="0" w:color="auto"/>
            </w:tcBorders>
          </w:tcPr>
          <w:p w14:paraId="237BA70A" w14:textId="2B7F8A07" w:rsidR="00F16A45" w:rsidRPr="000F1F50" w:rsidRDefault="00F16A45" w:rsidP="00F16A45">
            <w:pPr>
              <w:pStyle w:val="TableText"/>
              <w:spacing w:line="240" w:lineRule="auto"/>
              <w:cnfStyle w:val="000000100000" w:firstRow="0" w:lastRow="0" w:firstColumn="0" w:lastColumn="0" w:oddVBand="0" w:evenVBand="0" w:oddHBand="1" w:evenHBand="0" w:firstRowFirstColumn="0" w:firstRowLastColumn="0" w:lastRowFirstColumn="0" w:lastRowLastColumn="0"/>
              <w:rPr>
                <w:sz w:val="12"/>
                <w:szCs w:val="12"/>
              </w:rPr>
            </w:pPr>
            <w:r w:rsidRPr="000F1F50">
              <w:rPr>
                <w:sz w:val="12"/>
                <w:szCs w:val="12"/>
              </w:rPr>
              <w:t>14/2/</w:t>
            </w:r>
            <w:r w:rsidR="00DE4991" w:rsidRPr="000F1F50">
              <w:rPr>
                <w:sz w:val="12"/>
                <w:szCs w:val="12"/>
              </w:rPr>
              <w:t>20</w:t>
            </w:r>
            <w:r w:rsidR="00DE4991">
              <w:rPr>
                <w:sz w:val="12"/>
                <w:szCs w:val="12"/>
              </w:rPr>
              <w:t>22</w:t>
            </w:r>
          </w:p>
        </w:tc>
        <w:tc>
          <w:tcPr>
            <w:tcW w:w="755" w:type="dxa"/>
            <w:tcBorders>
              <w:left w:val="single" w:sz="4" w:space="0" w:color="auto"/>
            </w:tcBorders>
          </w:tcPr>
          <w:p w14:paraId="59C3DEB5" w14:textId="77777777" w:rsidR="00F16A45" w:rsidRPr="000F1F50" w:rsidRDefault="00F16A45" w:rsidP="00481903">
            <w:pPr>
              <w:pStyle w:val="TableText"/>
              <w:spacing w:line="240" w:lineRule="auto"/>
              <w:jc w:val="right"/>
              <w:cnfStyle w:val="000000100000" w:firstRow="0" w:lastRow="0" w:firstColumn="0" w:lastColumn="0" w:oddVBand="0" w:evenVBand="0" w:oddHBand="1" w:evenHBand="0" w:firstRowFirstColumn="0" w:firstRowLastColumn="0" w:lastRowFirstColumn="0" w:lastRowLastColumn="0"/>
              <w:rPr>
                <w:sz w:val="12"/>
                <w:szCs w:val="12"/>
              </w:rPr>
            </w:pPr>
          </w:p>
        </w:tc>
        <w:tc>
          <w:tcPr>
            <w:tcW w:w="425" w:type="dxa"/>
          </w:tcPr>
          <w:p w14:paraId="4A43A8CF" w14:textId="77777777" w:rsidR="00F16A45" w:rsidRPr="000F1F50" w:rsidRDefault="00F16A45" w:rsidP="00481903">
            <w:pPr>
              <w:pStyle w:val="TableText"/>
              <w:spacing w:line="240" w:lineRule="auto"/>
              <w:jc w:val="right"/>
              <w:cnfStyle w:val="000000100000" w:firstRow="0" w:lastRow="0" w:firstColumn="0" w:lastColumn="0" w:oddVBand="0" w:evenVBand="0" w:oddHBand="1" w:evenHBand="0" w:firstRowFirstColumn="0" w:firstRowLastColumn="0" w:lastRowFirstColumn="0" w:lastRowLastColumn="0"/>
              <w:rPr>
                <w:sz w:val="12"/>
                <w:szCs w:val="12"/>
              </w:rPr>
            </w:pPr>
          </w:p>
        </w:tc>
        <w:tc>
          <w:tcPr>
            <w:tcW w:w="709" w:type="dxa"/>
          </w:tcPr>
          <w:p w14:paraId="20AFEBFC" w14:textId="77777777" w:rsidR="00F16A45" w:rsidRPr="000F1F50" w:rsidRDefault="00F16A45" w:rsidP="00481903">
            <w:pPr>
              <w:pStyle w:val="TableText"/>
              <w:spacing w:line="240" w:lineRule="auto"/>
              <w:jc w:val="right"/>
              <w:cnfStyle w:val="000000100000" w:firstRow="0" w:lastRow="0" w:firstColumn="0" w:lastColumn="0" w:oddVBand="0" w:evenVBand="0" w:oddHBand="1" w:evenHBand="0" w:firstRowFirstColumn="0" w:firstRowLastColumn="0" w:lastRowFirstColumn="0" w:lastRowLastColumn="0"/>
              <w:rPr>
                <w:sz w:val="12"/>
                <w:szCs w:val="12"/>
              </w:rPr>
            </w:pPr>
          </w:p>
        </w:tc>
        <w:tc>
          <w:tcPr>
            <w:tcW w:w="425" w:type="dxa"/>
          </w:tcPr>
          <w:p w14:paraId="17FCF3C6" w14:textId="77777777" w:rsidR="00F16A45" w:rsidRPr="000F1F50" w:rsidRDefault="00F16A45" w:rsidP="00481903">
            <w:pPr>
              <w:pStyle w:val="TableText"/>
              <w:spacing w:line="240" w:lineRule="auto"/>
              <w:jc w:val="right"/>
              <w:cnfStyle w:val="000000100000" w:firstRow="0" w:lastRow="0" w:firstColumn="0" w:lastColumn="0" w:oddVBand="0" w:evenVBand="0" w:oddHBand="1" w:evenHBand="0" w:firstRowFirstColumn="0" w:firstRowLastColumn="0" w:lastRowFirstColumn="0" w:lastRowLastColumn="0"/>
              <w:rPr>
                <w:sz w:val="12"/>
                <w:szCs w:val="12"/>
              </w:rPr>
            </w:pPr>
          </w:p>
        </w:tc>
        <w:tc>
          <w:tcPr>
            <w:tcW w:w="709" w:type="dxa"/>
          </w:tcPr>
          <w:p w14:paraId="5E20A282" w14:textId="77777777" w:rsidR="00F16A45" w:rsidRPr="000F1F50" w:rsidRDefault="00F16A45" w:rsidP="00481903">
            <w:pPr>
              <w:pStyle w:val="TableText"/>
              <w:spacing w:line="240" w:lineRule="auto"/>
              <w:jc w:val="right"/>
              <w:cnfStyle w:val="000000100000" w:firstRow="0" w:lastRow="0" w:firstColumn="0" w:lastColumn="0" w:oddVBand="0" w:evenVBand="0" w:oddHBand="1" w:evenHBand="0" w:firstRowFirstColumn="0" w:firstRowLastColumn="0" w:lastRowFirstColumn="0" w:lastRowLastColumn="0"/>
              <w:rPr>
                <w:sz w:val="12"/>
                <w:szCs w:val="12"/>
              </w:rPr>
            </w:pPr>
          </w:p>
        </w:tc>
        <w:tc>
          <w:tcPr>
            <w:tcW w:w="567" w:type="dxa"/>
          </w:tcPr>
          <w:p w14:paraId="25073C2E" w14:textId="77777777" w:rsidR="00F16A45" w:rsidRPr="000F1F50" w:rsidRDefault="00F16A45" w:rsidP="00481903">
            <w:pPr>
              <w:pStyle w:val="TableText"/>
              <w:spacing w:line="240" w:lineRule="auto"/>
              <w:jc w:val="right"/>
              <w:cnfStyle w:val="000000100000" w:firstRow="0" w:lastRow="0" w:firstColumn="0" w:lastColumn="0" w:oddVBand="0" w:evenVBand="0" w:oddHBand="1" w:evenHBand="0" w:firstRowFirstColumn="0" w:firstRowLastColumn="0" w:lastRowFirstColumn="0" w:lastRowLastColumn="0"/>
              <w:rPr>
                <w:sz w:val="12"/>
                <w:szCs w:val="12"/>
              </w:rPr>
            </w:pPr>
          </w:p>
        </w:tc>
        <w:tc>
          <w:tcPr>
            <w:tcW w:w="709" w:type="dxa"/>
          </w:tcPr>
          <w:p w14:paraId="219C7A38" w14:textId="77777777" w:rsidR="00F16A45" w:rsidRPr="000F1F50" w:rsidRDefault="00F16A45" w:rsidP="00481903">
            <w:pPr>
              <w:pStyle w:val="TableText"/>
              <w:spacing w:line="240" w:lineRule="auto"/>
              <w:jc w:val="right"/>
              <w:cnfStyle w:val="000000100000" w:firstRow="0" w:lastRow="0" w:firstColumn="0" w:lastColumn="0" w:oddVBand="0" w:evenVBand="0" w:oddHBand="1" w:evenHBand="0" w:firstRowFirstColumn="0" w:firstRowLastColumn="0" w:lastRowFirstColumn="0" w:lastRowLastColumn="0"/>
              <w:rPr>
                <w:sz w:val="12"/>
                <w:szCs w:val="12"/>
              </w:rPr>
            </w:pPr>
          </w:p>
        </w:tc>
        <w:tc>
          <w:tcPr>
            <w:tcW w:w="567" w:type="dxa"/>
            <w:tcBorders>
              <w:right w:val="single" w:sz="4" w:space="0" w:color="auto"/>
            </w:tcBorders>
          </w:tcPr>
          <w:p w14:paraId="0B097117" w14:textId="77777777" w:rsidR="00F16A45" w:rsidRPr="000F1F50" w:rsidRDefault="00F16A45" w:rsidP="00481903">
            <w:pPr>
              <w:pStyle w:val="TableText"/>
              <w:spacing w:line="240" w:lineRule="auto"/>
              <w:jc w:val="right"/>
              <w:cnfStyle w:val="000000100000" w:firstRow="0" w:lastRow="0" w:firstColumn="0" w:lastColumn="0" w:oddVBand="0" w:evenVBand="0" w:oddHBand="1" w:evenHBand="0" w:firstRowFirstColumn="0" w:firstRowLastColumn="0" w:lastRowFirstColumn="0" w:lastRowLastColumn="0"/>
              <w:rPr>
                <w:sz w:val="12"/>
                <w:szCs w:val="12"/>
              </w:rPr>
            </w:pPr>
          </w:p>
        </w:tc>
        <w:tc>
          <w:tcPr>
            <w:tcW w:w="662" w:type="dxa"/>
            <w:tcBorders>
              <w:left w:val="single" w:sz="4" w:space="0" w:color="auto"/>
            </w:tcBorders>
          </w:tcPr>
          <w:p w14:paraId="0444426C" w14:textId="77777777" w:rsidR="00F16A45" w:rsidRPr="000F1F50" w:rsidRDefault="00F16A45" w:rsidP="00481903">
            <w:pPr>
              <w:pStyle w:val="TableText"/>
              <w:spacing w:line="240" w:lineRule="auto"/>
              <w:jc w:val="right"/>
              <w:cnfStyle w:val="000000100000" w:firstRow="0" w:lastRow="0" w:firstColumn="0" w:lastColumn="0" w:oddVBand="0" w:evenVBand="0" w:oddHBand="1" w:evenHBand="0" w:firstRowFirstColumn="0" w:firstRowLastColumn="0" w:lastRowFirstColumn="0" w:lastRowLastColumn="0"/>
              <w:rPr>
                <w:sz w:val="12"/>
                <w:szCs w:val="12"/>
              </w:rPr>
            </w:pPr>
          </w:p>
        </w:tc>
        <w:tc>
          <w:tcPr>
            <w:tcW w:w="425" w:type="dxa"/>
          </w:tcPr>
          <w:p w14:paraId="49B4CC27" w14:textId="77777777" w:rsidR="00F16A45" w:rsidRPr="000F1F50" w:rsidRDefault="00F16A45" w:rsidP="00481903">
            <w:pPr>
              <w:pStyle w:val="TableText"/>
              <w:spacing w:line="240" w:lineRule="auto"/>
              <w:jc w:val="right"/>
              <w:cnfStyle w:val="000000100000" w:firstRow="0" w:lastRow="0" w:firstColumn="0" w:lastColumn="0" w:oddVBand="0" w:evenVBand="0" w:oddHBand="1" w:evenHBand="0" w:firstRowFirstColumn="0" w:firstRowLastColumn="0" w:lastRowFirstColumn="0" w:lastRowLastColumn="0"/>
              <w:rPr>
                <w:sz w:val="12"/>
                <w:szCs w:val="12"/>
              </w:rPr>
            </w:pPr>
          </w:p>
        </w:tc>
        <w:tc>
          <w:tcPr>
            <w:tcW w:w="755" w:type="dxa"/>
          </w:tcPr>
          <w:p w14:paraId="3808C05F" w14:textId="77777777" w:rsidR="00F16A45" w:rsidRPr="000F1F50" w:rsidRDefault="00F16A45" w:rsidP="00481903">
            <w:pPr>
              <w:pStyle w:val="TableText"/>
              <w:spacing w:line="240" w:lineRule="auto"/>
              <w:jc w:val="right"/>
              <w:cnfStyle w:val="000000100000" w:firstRow="0" w:lastRow="0" w:firstColumn="0" w:lastColumn="0" w:oddVBand="0" w:evenVBand="0" w:oddHBand="1" w:evenHBand="0" w:firstRowFirstColumn="0" w:firstRowLastColumn="0" w:lastRowFirstColumn="0" w:lastRowLastColumn="0"/>
              <w:rPr>
                <w:sz w:val="12"/>
                <w:szCs w:val="12"/>
              </w:rPr>
            </w:pPr>
          </w:p>
        </w:tc>
        <w:tc>
          <w:tcPr>
            <w:tcW w:w="425" w:type="dxa"/>
          </w:tcPr>
          <w:p w14:paraId="42C8CBF0" w14:textId="77777777" w:rsidR="00F16A45" w:rsidRPr="000F1F50" w:rsidRDefault="00F16A45" w:rsidP="00481903">
            <w:pPr>
              <w:pStyle w:val="TableText"/>
              <w:spacing w:line="240" w:lineRule="auto"/>
              <w:jc w:val="right"/>
              <w:cnfStyle w:val="000000100000" w:firstRow="0" w:lastRow="0" w:firstColumn="0" w:lastColumn="0" w:oddVBand="0" w:evenVBand="0" w:oddHBand="1" w:evenHBand="0" w:firstRowFirstColumn="0" w:firstRowLastColumn="0" w:lastRowFirstColumn="0" w:lastRowLastColumn="0"/>
              <w:rPr>
                <w:sz w:val="12"/>
                <w:szCs w:val="12"/>
              </w:rPr>
            </w:pPr>
          </w:p>
        </w:tc>
        <w:tc>
          <w:tcPr>
            <w:tcW w:w="709" w:type="dxa"/>
          </w:tcPr>
          <w:p w14:paraId="2C447E58" w14:textId="77777777" w:rsidR="00F16A45" w:rsidRPr="000F1F50" w:rsidRDefault="00F16A45" w:rsidP="00481903">
            <w:pPr>
              <w:pStyle w:val="TableText"/>
              <w:spacing w:line="240" w:lineRule="auto"/>
              <w:jc w:val="right"/>
              <w:cnfStyle w:val="000000100000" w:firstRow="0" w:lastRow="0" w:firstColumn="0" w:lastColumn="0" w:oddVBand="0" w:evenVBand="0" w:oddHBand="1" w:evenHBand="0" w:firstRowFirstColumn="0" w:firstRowLastColumn="0" w:lastRowFirstColumn="0" w:lastRowLastColumn="0"/>
              <w:rPr>
                <w:sz w:val="12"/>
                <w:szCs w:val="12"/>
              </w:rPr>
            </w:pPr>
          </w:p>
        </w:tc>
        <w:tc>
          <w:tcPr>
            <w:tcW w:w="567" w:type="dxa"/>
          </w:tcPr>
          <w:p w14:paraId="5AAFCCBC" w14:textId="77777777" w:rsidR="00F16A45" w:rsidRPr="000F1F50" w:rsidRDefault="00F16A45" w:rsidP="00481903">
            <w:pPr>
              <w:pStyle w:val="TableText"/>
              <w:spacing w:line="240" w:lineRule="auto"/>
              <w:jc w:val="right"/>
              <w:cnfStyle w:val="000000100000" w:firstRow="0" w:lastRow="0" w:firstColumn="0" w:lastColumn="0" w:oddVBand="0" w:evenVBand="0" w:oddHBand="1" w:evenHBand="0" w:firstRowFirstColumn="0" w:firstRowLastColumn="0" w:lastRowFirstColumn="0" w:lastRowLastColumn="0"/>
              <w:rPr>
                <w:sz w:val="12"/>
                <w:szCs w:val="12"/>
              </w:rPr>
            </w:pPr>
          </w:p>
        </w:tc>
        <w:tc>
          <w:tcPr>
            <w:tcW w:w="709" w:type="dxa"/>
          </w:tcPr>
          <w:p w14:paraId="254E2F2D" w14:textId="77777777" w:rsidR="00F16A45" w:rsidRPr="000F1F50" w:rsidRDefault="00F16A45" w:rsidP="00481903">
            <w:pPr>
              <w:pStyle w:val="TableText"/>
              <w:spacing w:line="240" w:lineRule="auto"/>
              <w:jc w:val="right"/>
              <w:cnfStyle w:val="000000100000" w:firstRow="0" w:lastRow="0" w:firstColumn="0" w:lastColumn="0" w:oddVBand="0" w:evenVBand="0" w:oddHBand="1" w:evenHBand="0" w:firstRowFirstColumn="0" w:firstRowLastColumn="0" w:lastRowFirstColumn="0" w:lastRowLastColumn="0"/>
              <w:rPr>
                <w:sz w:val="12"/>
                <w:szCs w:val="12"/>
              </w:rPr>
            </w:pPr>
          </w:p>
        </w:tc>
        <w:tc>
          <w:tcPr>
            <w:tcW w:w="548" w:type="dxa"/>
            <w:tcBorders>
              <w:right w:val="single" w:sz="4" w:space="0" w:color="auto"/>
            </w:tcBorders>
          </w:tcPr>
          <w:p w14:paraId="437493E2" w14:textId="77777777" w:rsidR="00F16A45" w:rsidRPr="000F1F50" w:rsidRDefault="00F16A45" w:rsidP="00481903">
            <w:pPr>
              <w:pStyle w:val="TableText"/>
              <w:spacing w:line="240" w:lineRule="auto"/>
              <w:jc w:val="right"/>
              <w:cnfStyle w:val="000000100000" w:firstRow="0" w:lastRow="0" w:firstColumn="0" w:lastColumn="0" w:oddVBand="0" w:evenVBand="0" w:oddHBand="1" w:evenHBand="0" w:firstRowFirstColumn="0" w:firstRowLastColumn="0" w:lastRowFirstColumn="0" w:lastRowLastColumn="0"/>
              <w:rPr>
                <w:sz w:val="12"/>
                <w:szCs w:val="12"/>
              </w:rPr>
            </w:pPr>
          </w:p>
        </w:tc>
        <w:tc>
          <w:tcPr>
            <w:tcW w:w="823" w:type="dxa"/>
            <w:tcBorders>
              <w:left w:val="single" w:sz="4" w:space="0" w:color="auto"/>
            </w:tcBorders>
          </w:tcPr>
          <w:p w14:paraId="6A5A2A54" w14:textId="77777777" w:rsidR="00F16A45" w:rsidRPr="000F1F50" w:rsidRDefault="00F16A45" w:rsidP="00481903">
            <w:pPr>
              <w:pStyle w:val="TableText"/>
              <w:spacing w:line="240" w:lineRule="auto"/>
              <w:jc w:val="right"/>
              <w:cnfStyle w:val="000000100000" w:firstRow="0" w:lastRow="0" w:firstColumn="0" w:lastColumn="0" w:oddVBand="0" w:evenVBand="0" w:oddHBand="1" w:evenHBand="0" w:firstRowFirstColumn="0" w:firstRowLastColumn="0" w:lastRowFirstColumn="0" w:lastRowLastColumn="0"/>
              <w:rPr>
                <w:sz w:val="12"/>
                <w:szCs w:val="12"/>
              </w:rPr>
            </w:pPr>
          </w:p>
        </w:tc>
        <w:tc>
          <w:tcPr>
            <w:tcW w:w="851" w:type="dxa"/>
          </w:tcPr>
          <w:p w14:paraId="2016C191" w14:textId="77777777" w:rsidR="00F16A45" w:rsidRPr="000F1F50" w:rsidRDefault="00F16A45" w:rsidP="00481903">
            <w:pPr>
              <w:pStyle w:val="TableText"/>
              <w:spacing w:line="240" w:lineRule="auto"/>
              <w:jc w:val="right"/>
              <w:cnfStyle w:val="000000100000" w:firstRow="0" w:lastRow="0" w:firstColumn="0" w:lastColumn="0" w:oddVBand="0" w:evenVBand="0" w:oddHBand="1" w:evenHBand="0" w:firstRowFirstColumn="0" w:firstRowLastColumn="0" w:lastRowFirstColumn="0" w:lastRowLastColumn="0"/>
              <w:rPr>
                <w:sz w:val="12"/>
                <w:szCs w:val="12"/>
              </w:rPr>
            </w:pPr>
          </w:p>
        </w:tc>
        <w:tc>
          <w:tcPr>
            <w:tcW w:w="1276" w:type="dxa"/>
          </w:tcPr>
          <w:p w14:paraId="240CA47B" w14:textId="77777777" w:rsidR="00F16A45" w:rsidRPr="000F1F50" w:rsidRDefault="00F16A45" w:rsidP="00481903">
            <w:pPr>
              <w:pStyle w:val="TableText"/>
              <w:spacing w:line="240" w:lineRule="auto"/>
              <w:jc w:val="right"/>
              <w:cnfStyle w:val="000000100000" w:firstRow="0" w:lastRow="0" w:firstColumn="0" w:lastColumn="0" w:oddVBand="0" w:evenVBand="0" w:oddHBand="1" w:evenHBand="0" w:firstRowFirstColumn="0" w:firstRowLastColumn="0" w:lastRowFirstColumn="0" w:lastRowLastColumn="0"/>
              <w:rPr>
                <w:sz w:val="12"/>
                <w:szCs w:val="12"/>
              </w:rPr>
            </w:pPr>
          </w:p>
        </w:tc>
        <w:tc>
          <w:tcPr>
            <w:tcW w:w="1038" w:type="dxa"/>
          </w:tcPr>
          <w:p w14:paraId="140EBD21" w14:textId="77777777" w:rsidR="00F16A45" w:rsidRPr="000F1F50" w:rsidRDefault="00F16A45" w:rsidP="00481903">
            <w:pPr>
              <w:pStyle w:val="TableText"/>
              <w:spacing w:line="240" w:lineRule="auto"/>
              <w:jc w:val="right"/>
              <w:cnfStyle w:val="000000100000" w:firstRow="0" w:lastRow="0" w:firstColumn="0" w:lastColumn="0" w:oddVBand="0" w:evenVBand="0" w:oddHBand="1" w:evenHBand="0" w:firstRowFirstColumn="0" w:firstRowLastColumn="0" w:lastRowFirstColumn="0" w:lastRowLastColumn="0"/>
              <w:rPr>
                <w:sz w:val="12"/>
                <w:szCs w:val="12"/>
              </w:rPr>
            </w:pPr>
          </w:p>
        </w:tc>
      </w:tr>
      <w:tr w:rsidR="0088420A" w:rsidRPr="000F1F50" w14:paraId="5EB9A271" w14:textId="77777777" w:rsidTr="0088420A">
        <w:tc>
          <w:tcPr>
            <w:cnfStyle w:val="001000000000" w:firstRow="0" w:lastRow="0" w:firstColumn="1" w:lastColumn="0" w:oddVBand="0" w:evenVBand="0" w:oddHBand="0" w:evenHBand="0" w:firstRowFirstColumn="0" w:firstRowLastColumn="0" w:lastRowFirstColumn="0" w:lastRowLastColumn="0"/>
            <w:tcW w:w="237" w:type="dxa"/>
          </w:tcPr>
          <w:p w14:paraId="4F60D5C5" w14:textId="77777777" w:rsidR="00F16A45" w:rsidRPr="000F1F50" w:rsidRDefault="00F16A45" w:rsidP="00F16A45">
            <w:pPr>
              <w:pStyle w:val="TableText"/>
              <w:spacing w:line="240" w:lineRule="auto"/>
              <w:rPr>
                <w:sz w:val="12"/>
                <w:szCs w:val="12"/>
              </w:rPr>
            </w:pPr>
          </w:p>
        </w:tc>
        <w:tc>
          <w:tcPr>
            <w:tcW w:w="756" w:type="dxa"/>
            <w:tcBorders>
              <w:right w:val="single" w:sz="4" w:space="0" w:color="auto"/>
            </w:tcBorders>
          </w:tcPr>
          <w:p w14:paraId="50F5CD98" w14:textId="56DF0070" w:rsidR="00F16A45" w:rsidRPr="000F1F50" w:rsidRDefault="00F16A45" w:rsidP="00F16A45">
            <w:pPr>
              <w:pStyle w:val="TableText"/>
              <w:spacing w:line="240" w:lineRule="auto"/>
              <w:cnfStyle w:val="000000000000" w:firstRow="0" w:lastRow="0" w:firstColumn="0" w:lastColumn="0" w:oddVBand="0" w:evenVBand="0" w:oddHBand="0" w:evenHBand="0" w:firstRowFirstColumn="0" w:firstRowLastColumn="0" w:lastRowFirstColumn="0" w:lastRowLastColumn="0"/>
              <w:rPr>
                <w:sz w:val="12"/>
                <w:szCs w:val="12"/>
              </w:rPr>
            </w:pPr>
            <w:r w:rsidRPr="000F1F50">
              <w:rPr>
                <w:sz w:val="12"/>
                <w:szCs w:val="12"/>
              </w:rPr>
              <w:t>15/2/</w:t>
            </w:r>
            <w:r w:rsidR="00DE4991" w:rsidRPr="000F1F50">
              <w:rPr>
                <w:sz w:val="12"/>
                <w:szCs w:val="12"/>
              </w:rPr>
              <w:t>20</w:t>
            </w:r>
            <w:r w:rsidR="00DE4991">
              <w:rPr>
                <w:sz w:val="12"/>
                <w:szCs w:val="12"/>
              </w:rPr>
              <w:t>22</w:t>
            </w:r>
          </w:p>
        </w:tc>
        <w:tc>
          <w:tcPr>
            <w:tcW w:w="755" w:type="dxa"/>
            <w:tcBorders>
              <w:left w:val="single" w:sz="4" w:space="0" w:color="auto"/>
            </w:tcBorders>
          </w:tcPr>
          <w:p w14:paraId="00DD10B2" w14:textId="77777777" w:rsidR="00F16A45" w:rsidRPr="000F1F50" w:rsidRDefault="00F16A45" w:rsidP="00481903">
            <w:pPr>
              <w:pStyle w:val="TableText"/>
              <w:spacing w:line="240" w:lineRule="auto"/>
              <w:jc w:val="right"/>
              <w:cnfStyle w:val="000000000000" w:firstRow="0" w:lastRow="0" w:firstColumn="0" w:lastColumn="0" w:oddVBand="0" w:evenVBand="0" w:oddHBand="0" w:evenHBand="0" w:firstRowFirstColumn="0" w:firstRowLastColumn="0" w:lastRowFirstColumn="0" w:lastRowLastColumn="0"/>
              <w:rPr>
                <w:sz w:val="12"/>
                <w:szCs w:val="12"/>
              </w:rPr>
            </w:pPr>
          </w:p>
        </w:tc>
        <w:tc>
          <w:tcPr>
            <w:tcW w:w="425" w:type="dxa"/>
          </w:tcPr>
          <w:p w14:paraId="3BD6334A" w14:textId="77777777" w:rsidR="00F16A45" w:rsidRPr="000F1F50" w:rsidRDefault="00F16A45" w:rsidP="00481903">
            <w:pPr>
              <w:pStyle w:val="TableText"/>
              <w:spacing w:line="240" w:lineRule="auto"/>
              <w:jc w:val="right"/>
              <w:cnfStyle w:val="000000000000" w:firstRow="0" w:lastRow="0" w:firstColumn="0" w:lastColumn="0" w:oddVBand="0" w:evenVBand="0" w:oddHBand="0" w:evenHBand="0" w:firstRowFirstColumn="0" w:firstRowLastColumn="0" w:lastRowFirstColumn="0" w:lastRowLastColumn="0"/>
              <w:rPr>
                <w:sz w:val="12"/>
                <w:szCs w:val="12"/>
              </w:rPr>
            </w:pPr>
          </w:p>
        </w:tc>
        <w:tc>
          <w:tcPr>
            <w:tcW w:w="709" w:type="dxa"/>
          </w:tcPr>
          <w:p w14:paraId="237A6152" w14:textId="77777777" w:rsidR="00F16A45" w:rsidRPr="000F1F50" w:rsidRDefault="00F16A45" w:rsidP="00481903">
            <w:pPr>
              <w:pStyle w:val="TableText"/>
              <w:spacing w:line="240" w:lineRule="auto"/>
              <w:jc w:val="right"/>
              <w:cnfStyle w:val="000000000000" w:firstRow="0" w:lastRow="0" w:firstColumn="0" w:lastColumn="0" w:oddVBand="0" w:evenVBand="0" w:oddHBand="0" w:evenHBand="0" w:firstRowFirstColumn="0" w:firstRowLastColumn="0" w:lastRowFirstColumn="0" w:lastRowLastColumn="0"/>
              <w:rPr>
                <w:sz w:val="12"/>
                <w:szCs w:val="12"/>
              </w:rPr>
            </w:pPr>
          </w:p>
        </w:tc>
        <w:tc>
          <w:tcPr>
            <w:tcW w:w="425" w:type="dxa"/>
          </w:tcPr>
          <w:p w14:paraId="28F45803" w14:textId="77777777" w:rsidR="00F16A45" w:rsidRPr="000F1F50" w:rsidRDefault="00F16A45" w:rsidP="00481903">
            <w:pPr>
              <w:pStyle w:val="TableText"/>
              <w:spacing w:line="240" w:lineRule="auto"/>
              <w:jc w:val="right"/>
              <w:cnfStyle w:val="000000000000" w:firstRow="0" w:lastRow="0" w:firstColumn="0" w:lastColumn="0" w:oddVBand="0" w:evenVBand="0" w:oddHBand="0" w:evenHBand="0" w:firstRowFirstColumn="0" w:firstRowLastColumn="0" w:lastRowFirstColumn="0" w:lastRowLastColumn="0"/>
              <w:rPr>
                <w:sz w:val="12"/>
                <w:szCs w:val="12"/>
              </w:rPr>
            </w:pPr>
          </w:p>
        </w:tc>
        <w:tc>
          <w:tcPr>
            <w:tcW w:w="709" w:type="dxa"/>
          </w:tcPr>
          <w:p w14:paraId="40E14108" w14:textId="77777777" w:rsidR="00F16A45" w:rsidRPr="000F1F50" w:rsidRDefault="00F16A45" w:rsidP="00481903">
            <w:pPr>
              <w:pStyle w:val="TableText"/>
              <w:spacing w:line="240" w:lineRule="auto"/>
              <w:jc w:val="right"/>
              <w:cnfStyle w:val="000000000000" w:firstRow="0" w:lastRow="0" w:firstColumn="0" w:lastColumn="0" w:oddVBand="0" w:evenVBand="0" w:oddHBand="0" w:evenHBand="0" w:firstRowFirstColumn="0" w:firstRowLastColumn="0" w:lastRowFirstColumn="0" w:lastRowLastColumn="0"/>
              <w:rPr>
                <w:sz w:val="12"/>
                <w:szCs w:val="12"/>
              </w:rPr>
            </w:pPr>
          </w:p>
        </w:tc>
        <w:tc>
          <w:tcPr>
            <w:tcW w:w="567" w:type="dxa"/>
          </w:tcPr>
          <w:p w14:paraId="1C88B6DC" w14:textId="77777777" w:rsidR="00F16A45" w:rsidRPr="000F1F50" w:rsidRDefault="00F16A45" w:rsidP="00481903">
            <w:pPr>
              <w:pStyle w:val="TableText"/>
              <w:spacing w:line="240" w:lineRule="auto"/>
              <w:jc w:val="right"/>
              <w:cnfStyle w:val="000000000000" w:firstRow="0" w:lastRow="0" w:firstColumn="0" w:lastColumn="0" w:oddVBand="0" w:evenVBand="0" w:oddHBand="0" w:evenHBand="0" w:firstRowFirstColumn="0" w:firstRowLastColumn="0" w:lastRowFirstColumn="0" w:lastRowLastColumn="0"/>
              <w:rPr>
                <w:sz w:val="12"/>
                <w:szCs w:val="12"/>
              </w:rPr>
            </w:pPr>
          </w:p>
        </w:tc>
        <w:tc>
          <w:tcPr>
            <w:tcW w:w="709" w:type="dxa"/>
          </w:tcPr>
          <w:p w14:paraId="43DBDF6D" w14:textId="77777777" w:rsidR="00F16A45" w:rsidRPr="000F1F50" w:rsidRDefault="00F16A45" w:rsidP="00481903">
            <w:pPr>
              <w:pStyle w:val="TableText"/>
              <w:spacing w:line="240" w:lineRule="auto"/>
              <w:jc w:val="right"/>
              <w:cnfStyle w:val="000000000000" w:firstRow="0" w:lastRow="0" w:firstColumn="0" w:lastColumn="0" w:oddVBand="0" w:evenVBand="0" w:oddHBand="0" w:evenHBand="0" w:firstRowFirstColumn="0" w:firstRowLastColumn="0" w:lastRowFirstColumn="0" w:lastRowLastColumn="0"/>
              <w:rPr>
                <w:sz w:val="12"/>
                <w:szCs w:val="12"/>
              </w:rPr>
            </w:pPr>
          </w:p>
        </w:tc>
        <w:tc>
          <w:tcPr>
            <w:tcW w:w="567" w:type="dxa"/>
            <w:tcBorders>
              <w:right w:val="single" w:sz="4" w:space="0" w:color="auto"/>
            </w:tcBorders>
          </w:tcPr>
          <w:p w14:paraId="651739B4" w14:textId="77777777" w:rsidR="00F16A45" w:rsidRPr="000F1F50" w:rsidRDefault="00F16A45" w:rsidP="00481903">
            <w:pPr>
              <w:pStyle w:val="TableText"/>
              <w:spacing w:line="240" w:lineRule="auto"/>
              <w:jc w:val="right"/>
              <w:cnfStyle w:val="000000000000" w:firstRow="0" w:lastRow="0" w:firstColumn="0" w:lastColumn="0" w:oddVBand="0" w:evenVBand="0" w:oddHBand="0" w:evenHBand="0" w:firstRowFirstColumn="0" w:firstRowLastColumn="0" w:lastRowFirstColumn="0" w:lastRowLastColumn="0"/>
              <w:rPr>
                <w:sz w:val="12"/>
                <w:szCs w:val="12"/>
              </w:rPr>
            </w:pPr>
          </w:p>
        </w:tc>
        <w:tc>
          <w:tcPr>
            <w:tcW w:w="662" w:type="dxa"/>
            <w:tcBorders>
              <w:left w:val="single" w:sz="4" w:space="0" w:color="auto"/>
            </w:tcBorders>
          </w:tcPr>
          <w:p w14:paraId="470D97D1" w14:textId="77777777" w:rsidR="00F16A45" w:rsidRPr="000F1F50" w:rsidRDefault="00F16A45" w:rsidP="00481903">
            <w:pPr>
              <w:pStyle w:val="TableText"/>
              <w:spacing w:line="240" w:lineRule="auto"/>
              <w:jc w:val="right"/>
              <w:cnfStyle w:val="000000000000" w:firstRow="0" w:lastRow="0" w:firstColumn="0" w:lastColumn="0" w:oddVBand="0" w:evenVBand="0" w:oddHBand="0" w:evenHBand="0" w:firstRowFirstColumn="0" w:firstRowLastColumn="0" w:lastRowFirstColumn="0" w:lastRowLastColumn="0"/>
              <w:rPr>
                <w:sz w:val="12"/>
                <w:szCs w:val="12"/>
              </w:rPr>
            </w:pPr>
          </w:p>
        </w:tc>
        <w:tc>
          <w:tcPr>
            <w:tcW w:w="425" w:type="dxa"/>
          </w:tcPr>
          <w:p w14:paraId="6F85F634" w14:textId="77777777" w:rsidR="00F16A45" w:rsidRPr="000F1F50" w:rsidRDefault="00F16A45" w:rsidP="00481903">
            <w:pPr>
              <w:pStyle w:val="TableText"/>
              <w:spacing w:line="240" w:lineRule="auto"/>
              <w:jc w:val="right"/>
              <w:cnfStyle w:val="000000000000" w:firstRow="0" w:lastRow="0" w:firstColumn="0" w:lastColumn="0" w:oddVBand="0" w:evenVBand="0" w:oddHBand="0" w:evenHBand="0" w:firstRowFirstColumn="0" w:firstRowLastColumn="0" w:lastRowFirstColumn="0" w:lastRowLastColumn="0"/>
              <w:rPr>
                <w:sz w:val="12"/>
                <w:szCs w:val="12"/>
              </w:rPr>
            </w:pPr>
          </w:p>
        </w:tc>
        <w:tc>
          <w:tcPr>
            <w:tcW w:w="755" w:type="dxa"/>
          </w:tcPr>
          <w:p w14:paraId="01431B76" w14:textId="77777777" w:rsidR="00F16A45" w:rsidRPr="000F1F50" w:rsidRDefault="00F16A45" w:rsidP="00481903">
            <w:pPr>
              <w:pStyle w:val="TableText"/>
              <w:spacing w:line="240" w:lineRule="auto"/>
              <w:jc w:val="right"/>
              <w:cnfStyle w:val="000000000000" w:firstRow="0" w:lastRow="0" w:firstColumn="0" w:lastColumn="0" w:oddVBand="0" w:evenVBand="0" w:oddHBand="0" w:evenHBand="0" w:firstRowFirstColumn="0" w:firstRowLastColumn="0" w:lastRowFirstColumn="0" w:lastRowLastColumn="0"/>
              <w:rPr>
                <w:sz w:val="12"/>
                <w:szCs w:val="12"/>
              </w:rPr>
            </w:pPr>
          </w:p>
        </w:tc>
        <w:tc>
          <w:tcPr>
            <w:tcW w:w="425" w:type="dxa"/>
          </w:tcPr>
          <w:p w14:paraId="06812702" w14:textId="77777777" w:rsidR="00F16A45" w:rsidRPr="000F1F50" w:rsidRDefault="00F16A45" w:rsidP="00481903">
            <w:pPr>
              <w:pStyle w:val="TableText"/>
              <w:spacing w:line="240" w:lineRule="auto"/>
              <w:jc w:val="right"/>
              <w:cnfStyle w:val="000000000000" w:firstRow="0" w:lastRow="0" w:firstColumn="0" w:lastColumn="0" w:oddVBand="0" w:evenVBand="0" w:oddHBand="0" w:evenHBand="0" w:firstRowFirstColumn="0" w:firstRowLastColumn="0" w:lastRowFirstColumn="0" w:lastRowLastColumn="0"/>
              <w:rPr>
                <w:sz w:val="12"/>
                <w:szCs w:val="12"/>
              </w:rPr>
            </w:pPr>
          </w:p>
        </w:tc>
        <w:tc>
          <w:tcPr>
            <w:tcW w:w="709" w:type="dxa"/>
          </w:tcPr>
          <w:p w14:paraId="23C2207E" w14:textId="77777777" w:rsidR="00F16A45" w:rsidRPr="000F1F50" w:rsidRDefault="00F16A45" w:rsidP="00481903">
            <w:pPr>
              <w:pStyle w:val="TableText"/>
              <w:spacing w:line="240" w:lineRule="auto"/>
              <w:jc w:val="right"/>
              <w:cnfStyle w:val="000000000000" w:firstRow="0" w:lastRow="0" w:firstColumn="0" w:lastColumn="0" w:oddVBand="0" w:evenVBand="0" w:oddHBand="0" w:evenHBand="0" w:firstRowFirstColumn="0" w:firstRowLastColumn="0" w:lastRowFirstColumn="0" w:lastRowLastColumn="0"/>
              <w:rPr>
                <w:sz w:val="12"/>
                <w:szCs w:val="12"/>
              </w:rPr>
            </w:pPr>
          </w:p>
        </w:tc>
        <w:tc>
          <w:tcPr>
            <w:tcW w:w="567" w:type="dxa"/>
          </w:tcPr>
          <w:p w14:paraId="6965398D" w14:textId="77777777" w:rsidR="00F16A45" w:rsidRPr="000F1F50" w:rsidRDefault="00F16A45" w:rsidP="00481903">
            <w:pPr>
              <w:pStyle w:val="TableText"/>
              <w:spacing w:line="240" w:lineRule="auto"/>
              <w:jc w:val="right"/>
              <w:cnfStyle w:val="000000000000" w:firstRow="0" w:lastRow="0" w:firstColumn="0" w:lastColumn="0" w:oddVBand="0" w:evenVBand="0" w:oddHBand="0" w:evenHBand="0" w:firstRowFirstColumn="0" w:firstRowLastColumn="0" w:lastRowFirstColumn="0" w:lastRowLastColumn="0"/>
              <w:rPr>
                <w:sz w:val="12"/>
                <w:szCs w:val="12"/>
              </w:rPr>
            </w:pPr>
          </w:p>
        </w:tc>
        <w:tc>
          <w:tcPr>
            <w:tcW w:w="709" w:type="dxa"/>
          </w:tcPr>
          <w:p w14:paraId="6B5DC47A" w14:textId="77777777" w:rsidR="00F16A45" w:rsidRPr="000F1F50" w:rsidRDefault="00F16A45" w:rsidP="00481903">
            <w:pPr>
              <w:pStyle w:val="TableText"/>
              <w:spacing w:line="240" w:lineRule="auto"/>
              <w:jc w:val="right"/>
              <w:cnfStyle w:val="000000000000" w:firstRow="0" w:lastRow="0" w:firstColumn="0" w:lastColumn="0" w:oddVBand="0" w:evenVBand="0" w:oddHBand="0" w:evenHBand="0" w:firstRowFirstColumn="0" w:firstRowLastColumn="0" w:lastRowFirstColumn="0" w:lastRowLastColumn="0"/>
              <w:rPr>
                <w:sz w:val="12"/>
                <w:szCs w:val="12"/>
              </w:rPr>
            </w:pPr>
          </w:p>
        </w:tc>
        <w:tc>
          <w:tcPr>
            <w:tcW w:w="548" w:type="dxa"/>
            <w:tcBorders>
              <w:right w:val="single" w:sz="4" w:space="0" w:color="auto"/>
            </w:tcBorders>
          </w:tcPr>
          <w:p w14:paraId="07477436" w14:textId="77777777" w:rsidR="00F16A45" w:rsidRPr="000F1F50" w:rsidRDefault="00F16A45" w:rsidP="00481903">
            <w:pPr>
              <w:pStyle w:val="TableText"/>
              <w:spacing w:line="240" w:lineRule="auto"/>
              <w:jc w:val="right"/>
              <w:cnfStyle w:val="000000000000" w:firstRow="0" w:lastRow="0" w:firstColumn="0" w:lastColumn="0" w:oddVBand="0" w:evenVBand="0" w:oddHBand="0" w:evenHBand="0" w:firstRowFirstColumn="0" w:firstRowLastColumn="0" w:lastRowFirstColumn="0" w:lastRowLastColumn="0"/>
              <w:rPr>
                <w:sz w:val="12"/>
                <w:szCs w:val="12"/>
              </w:rPr>
            </w:pPr>
          </w:p>
        </w:tc>
        <w:tc>
          <w:tcPr>
            <w:tcW w:w="823" w:type="dxa"/>
            <w:tcBorders>
              <w:left w:val="single" w:sz="4" w:space="0" w:color="auto"/>
            </w:tcBorders>
          </w:tcPr>
          <w:p w14:paraId="5B41E0B5" w14:textId="77777777" w:rsidR="00F16A45" w:rsidRPr="000F1F50" w:rsidRDefault="00F16A45" w:rsidP="00481903">
            <w:pPr>
              <w:pStyle w:val="TableText"/>
              <w:spacing w:line="240" w:lineRule="auto"/>
              <w:jc w:val="right"/>
              <w:cnfStyle w:val="000000000000" w:firstRow="0" w:lastRow="0" w:firstColumn="0" w:lastColumn="0" w:oddVBand="0" w:evenVBand="0" w:oddHBand="0" w:evenHBand="0" w:firstRowFirstColumn="0" w:firstRowLastColumn="0" w:lastRowFirstColumn="0" w:lastRowLastColumn="0"/>
              <w:rPr>
                <w:sz w:val="12"/>
                <w:szCs w:val="12"/>
              </w:rPr>
            </w:pPr>
          </w:p>
        </w:tc>
        <w:tc>
          <w:tcPr>
            <w:tcW w:w="851" w:type="dxa"/>
          </w:tcPr>
          <w:p w14:paraId="0956563A" w14:textId="77777777" w:rsidR="00F16A45" w:rsidRPr="000F1F50" w:rsidRDefault="00F16A45" w:rsidP="00481903">
            <w:pPr>
              <w:pStyle w:val="TableText"/>
              <w:spacing w:line="240" w:lineRule="auto"/>
              <w:jc w:val="right"/>
              <w:cnfStyle w:val="000000000000" w:firstRow="0" w:lastRow="0" w:firstColumn="0" w:lastColumn="0" w:oddVBand="0" w:evenVBand="0" w:oddHBand="0" w:evenHBand="0" w:firstRowFirstColumn="0" w:firstRowLastColumn="0" w:lastRowFirstColumn="0" w:lastRowLastColumn="0"/>
              <w:rPr>
                <w:sz w:val="12"/>
                <w:szCs w:val="12"/>
              </w:rPr>
            </w:pPr>
          </w:p>
        </w:tc>
        <w:tc>
          <w:tcPr>
            <w:tcW w:w="1276" w:type="dxa"/>
          </w:tcPr>
          <w:p w14:paraId="503693B6" w14:textId="77777777" w:rsidR="00F16A45" w:rsidRPr="000F1F50" w:rsidRDefault="00F16A45" w:rsidP="00481903">
            <w:pPr>
              <w:pStyle w:val="TableText"/>
              <w:spacing w:line="240" w:lineRule="auto"/>
              <w:jc w:val="right"/>
              <w:cnfStyle w:val="000000000000" w:firstRow="0" w:lastRow="0" w:firstColumn="0" w:lastColumn="0" w:oddVBand="0" w:evenVBand="0" w:oddHBand="0" w:evenHBand="0" w:firstRowFirstColumn="0" w:firstRowLastColumn="0" w:lastRowFirstColumn="0" w:lastRowLastColumn="0"/>
              <w:rPr>
                <w:sz w:val="12"/>
                <w:szCs w:val="12"/>
              </w:rPr>
            </w:pPr>
          </w:p>
        </w:tc>
        <w:tc>
          <w:tcPr>
            <w:tcW w:w="1038" w:type="dxa"/>
          </w:tcPr>
          <w:p w14:paraId="58CD8023" w14:textId="77777777" w:rsidR="00F16A45" w:rsidRPr="000F1F50" w:rsidRDefault="00F16A45" w:rsidP="00481903">
            <w:pPr>
              <w:pStyle w:val="TableText"/>
              <w:spacing w:line="240" w:lineRule="auto"/>
              <w:jc w:val="right"/>
              <w:cnfStyle w:val="000000000000" w:firstRow="0" w:lastRow="0" w:firstColumn="0" w:lastColumn="0" w:oddVBand="0" w:evenVBand="0" w:oddHBand="0" w:evenHBand="0" w:firstRowFirstColumn="0" w:firstRowLastColumn="0" w:lastRowFirstColumn="0" w:lastRowLastColumn="0"/>
              <w:rPr>
                <w:sz w:val="12"/>
                <w:szCs w:val="12"/>
              </w:rPr>
            </w:pPr>
          </w:p>
        </w:tc>
      </w:tr>
      <w:tr w:rsidR="0088420A" w:rsidRPr="000F1F50" w14:paraId="0D578FC4" w14:textId="77777777" w:rsidTr="008842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 w:type="dxa"/>
          </w:tcPr>
          <w:p w14:paraId="7D27A51B" w14:textId="77777777" w:rsidR="00F16A45" w:rsidRPr="000F1F50" w:rsidRDefault="00F16A45" w:rsidP="00F16A45">
            <w:pPr>
              <w:pStyle w:val="TableText"/>
              <w:spacing w:line="240" w:lineRule="auto"/>
              <w:rPr>
                <w:sz w:val="12"/>
                <w:szCs w:val="12"/>
              </w:rPr>
            </w:pPr>
          </w:p>
        </w:tc>
        <w:tc>
          <w:tcPr>
            <w:tcW w:w="756" w:type="dxa"/>
            <w:tcBorders>
              <w:right w:val="single" w:sz="4" w:space="0" w:color="auto"/>
            </w:tcBorders>
          </w:tcPr>
          <w:p w14:paraId="74F5F238" w14:textId="6A41C005" w:rsidR="00F16A45" w:rsidRPr="000F1F50" w:rsidRDefault="00F16A45" w:rsidP="00F16A45">
            <w:pPr>
              <w:pStyle w:val="TableText"/>
              <w:spacing w:line="240" w:lineRule="auto"/>
              <w:cnfStyle w:val="000000100000" w:firstRow="0" w:lastRow="0" w:firstColumn="0" w:lastColumn="0" w:oddVBand="0" w:evenVBand="0" w:oddHBand="1" w:evenHBand="0" w:firstRowFirstColumn="0" w:firstRowLastColumn="0" w:lastRowFirstColumn="0" w:lastRowLastColumn="0"/>
              <w:rPr>
                <w:sz w:val="12"/>
                <w:szCs w:val="12"/>
              </w:rPr>
            </w:pPr>
            <w:r w:rsidRPr="000F1F50">
              <w:rPr>
                <w:sz w:val="12"/>
                <w:szCs w:val="12"/>
              </w:rPr>
              <w:t>16/2/</w:t>
            </w:r>
            <w:r w:rsidR="00DE4991" w:rsidRPr="000F1F50">
              <w:rPr>
                <w:sz w:val="12"/>
                <w:szCs w:val="12"/>
              </w:rPr>
              <w:t>20</w:t>
            </w:r>
            <w:r w:rsidR="00DE4991">
              <w:rPr>
                <w:sz w:val="12"/>
                <w:szCs w:val="12"/>
              </w:rPr>
              <w:t>22</w:t>
            </w:r>
          </w:p>
        </w:tc>
        <w:tc>
          <w:tcPr>
            <w:tcW w:w="755" w:type="dxa"/>
            <w:tcBorders>
              <w:left w:val="single" w:sz="4" w:space="0" w:color="auto"/>
            </w:tcBorders>
          </w:tcPr>
          <w:p w14:paraId="1A5A4076" w14:textId="77777777" w:rsidR="00F16A45" w:rsidRPr="000F1F50" w:rsidRDefault="00F16A45" w:rsidP="00481903">
            <w:pPr>
              <w:pStyle w:val="TableText"/>
              <w:spacing w:line="240" w:lineRule="auto"/>
              <w:jc w:val="right"/>
              <w:cnfStyle w:val="000000100000" w:firstRow="0" w:lastRow="0" w:firstColumn="0" w:lastColumn="0" w:oddVBand="0" w:evenVBand="0" w:oddHBand="1" w:evenHBand="0" w:firstRowFirstColumn="0" w:firstRowLastColumn="0" w:lastRowFirstColumn="0" w:lastRowLastColumn="0"/>
              <w:rPr>
                <w:sz w:val="12"/>
                <w:szCs w:val="12"/>
              </w:rPr>
            </w:pPr>
          </w:p>
        </w:tc>
        <w:tc>
          <w:tcPr>
            <w:tcW w:w="425" w:type="dxa"/>
          </w:tcPr>
          <w:p w14:paraId="1367BAEC" w14:textId="77777777" w:rsidR="00F16A45" w:rsidRPr="000F1F50" w:rsidRDefault="00F16A45" w:rsidP="00481903">
            <w:pPr>
              <w:pStyle w:val="TableText"/>
              <w:spacing w:line="240" w:lineRule="auto"/>
              <w:jc w:val="right"/>
              <w:cnfStyle w:val="000000100000" w:firstRow="0" w:lastRow="0" w:firstColumn="0" w:lastColumn="0" w:oddVBand="0" w:evenVBand="0" w:oddHBand="1" w:evenHBand="0" w:firstRowFirstColumn="0" w:firstRowLastColumn="0" w:lastRowFirstColumn="0" w:lastRowLastColumn="0"/>
              <w:rPr>
                <w:sz w:val="12"/>
                <w:szCs w:val="12"/>
              </w:rPr>
            </w:pPr>
          </w:p>
        </w:tc>
        <w:tc>
          <w:tcPr>
            <w:tcW w:w="709" w:type="dxa"/>
          </w:tcPr>
          <w:p w14:paraId="0D7AB13A" w14:textId="77777777" w:rsidR="00F16A45" w:rsidRPr="000F1F50" w:rsidRDefault="00F16A45" w:rsidP="00481903">
            <w:pPr>
              <w:pStyle w:val="TableText"/>
              <w:spacing w:line="240" w:lineRule="auto"/>
              <w:jc w:val="right"/>
              <w:cnfStyle w:val="000000100000" w:firstRow="0" w:lastRow="0" w:firstColumn="0" w:lastColumn="0" w:oddVBand="0" w:evenVBand="0" w:oddHBand="1" w:evenHBand="0" w:firstRowFirstColumn="0" w:firstRowLastColumn="0" w:lastRowFirstColumn="0" w:lastRowLastColumn="0"/>
              <w:rPr>
                <w:sz w:val="12"/>
                <w:szCs w:val="12"/>
              </w:rPr>
            </w:pPr>
          </w:p>
        </w:tc>
        <w:tc>
          <w:tcPr>
            <w:tcW w:w="425" w:type="dxa"/>
          </w:tcPr>
          <w:p w14:paraId="36EDA81B" w14:textId="77777777" w:rsidR="00F16A45" w:rsidRPr="000F1F50" w:rsidRDefault="00F16A45" w:rsidP="00481903">
            <w:pPr>
              <w:pStyle w:val="TableText"/>
              <w:spacing w:line="240" w:lineRule="auto"/>
              <w:jc w:val="right"/>
              <w:cnfStyle w:val="000000100000" w:firstRow="0" w:lastRow="0" w:firstColumn="0" w:lastColumn="0" w:oddVBand="0" w:evenVBand="0" w:oddHBand="1" w:evenHBand="0" w:firstRowFirstColumn="0" w:firstRowLastColumn="0" w:lastRowFirstColumn="0" w:lastRowLastColumn="0"/>
              <w:rPr>
                <w:sz w:val="12"/>
                <w:szCs w:val="12"/>
              </w:rPr>
            </w:pPr>
          </w:p>
        </w:tc>
        <w:tc>
          <w:tcPr>
            <w:tcW w:w="709" w:type="dxa"/>
          </w:tcPr>
          <w:p w14:paraId="5656E9D3" w14:textId="77777777" w:rsidR="00F16A45" w:rsidRPr="000F1F50" w:rsidRDefault="00F16A45" w:rsidP="00481903">
            <w:pPr>
              <w:pStyle w:val="TableText"/>
              <w:spacing w:line="240" w:lineRule="auto"/>
              <w:jc w:val="right"/>
              <w:cnfStyle w:val="000000100000" w:firstRow="0" w:lastRow="0" w:firstColumn="0" w:lastColumn="0" w:oddVBand="0" w:evenVBand="0" w:oddHBand="1" w:evenHBand="0" w:firstRowFirstColumn="0" w:firstRowLastColumn="0" w:lastRowFirstColumn="0" w:lastRowLastColumn="0"/>
              <w:rPr>
                <w:sz w:val="12"/>
                <w:szCs w:val="12"/>
              </w:rPr>
            </w:pPr>
          </w:p>
        </w:tc>
        <w:tc>
          <w:tcPr>
            <w:tcW w:w="567" w:type="dxa"/>
          </w:tcPr>
          <w:p w14:paraId="5F553192" w14:textId="77777777" w:rsidR="00F16A45" w:rsidRPr="000F1F50" w:rsidRDefault="00F16A45" w:rsidP="00481903">
            <w:pPr>
              <w:pStyle w:val="TableText"/>
              <w:spacing w:line="240" w:lineRule="auto"/>
              <w:jc w:val="right"/>
              <w:cnfStyle w:val="000000100000" w:firstRow="0" w:lastRow="0" w:firstColumn="0" w:lastColumn="0" w:oddVBand="0" w:evenVBand="0" w:oddHBand="1" w:evenHBand="0" w:firstRowFirstColumn="0" w:firstRowLastColumn="0" w:lastRowFirstColumn="0" w:lastRowLastColumn="0"/>
              <w:rPr>
                <w:sz w:val="12"/>
                <w:szCs w:val="12"/>
              </w:rPr>
            </w:pPr>
          </w:p>
        </w:tc>
        <w:tc>
          <w:tcPr>
            <w:tcW w:w="709" w:type="dxa"/>
          </w:tcPr>
          <w:p w14:paraId="625B99C9" w14:textId="77777777" w:rsidR="00F16A45" w:rsidRPr="000F1F50" w:rsidRDefault="00F16A45" w:rsidP="00481903">
            <w:pPr>
              <w:pStyle w:val="TableText"/>
              <w:spacing w:line="240" w:lineRule="auto"/>
              <w:jc w:val="right"/>
              <w:cnfStyle w:val="000000100000" w:firstRow="0" w:lastRow="0" w:firstColumn="0" w:lastColumn="0" w:oddVBand="0" w:evenVBand="0" w:oddHBand="1" w:evenHBand="0" w:firstRowFirstColumn="0" w:firstRowLastColumn="0" w:lastRowFirstColumn="0" w:lastRowLastColumn="0"/>
              <w:rPr>
                <w:sz w:val="12"/>
                <w:szCs w:val="12"/>
              </w:rPr>
            </w:pPr>
          </w:p>
        </w:tc>
        <w:tc>
          <w:tcPr>
            <w:tcW w:w="567" w:type="dxa"/>
            <w:tcBorders>
              <w:right w:val="single" w:sz="4" w:space="0" w:color="auto"/>
            </w:tcBorders>
          </w:tcPr>
          <w:p w14:paraId="6F279580" w14:textId="77777777" w:rsidR="00F16A45" w:rsidRPr="000F1F50" w:rsidRDefault="00F16A45" w:rsidP="00481903">
            <w:pPr>
              <w:pStyle w:val="TableText"/>
              <w:spacing w:line="240" w:lineRule="auto"/>
              <w:jc w:val="right"/>
              <w:cnfStyle w:val="000000100000" w:firstRow="0" w:lastRow="0" w:firstColumn="0" w:lastColumn="0" w:oddVBand="0" w:evenVBand="0" w:oddHBand="1" w:evenHBand="0" w:firstRowFirstColumn="0" w:firstRowLastColumn="0" w:lastRowFirstColumn="0" w:lastRowLastColumn="0"/>
              <w:rPr>
                <w:sz w:val="12"/>
                <w:szCs w:val="12"/>
              </w:rPr>
            </w:pPr>
          </w:p>
        </w:tc>
        <w:tc>
          <w:tcPr>
            <w:tcW w:w="662" w:type="dxa"/>
            <w:tcBorders>
              <w:left w:val="single" w:sz="4" w:space="0" w:color="auto"/>
            </w:tcBorders>
          </w:tcPr>
          <w:p w14:paraId="5C9F3567" w14:textId="77777777" w:rsidR="00F16A45" w:rsidRPr="000F1F50" w:rsidRDefault="00F16A45" w:rsidP="00481903">
            <w:pPr>
              <w:pStyle w:val="TableText"/>
              <w:spacing w:line="240" w:lineRule="auto"/>
              <w:jc w:val="right"/>
              <w:cnfStyle w:val="000000100000" w:firstRow="0" w:lastRow="0" w:firstColumn="0" w:lastColumn="0" w:oddVBand="0" w:evenVBand="0" w:oddHBand="1" w:evenHBand="0" w:firstRowFirstColumn="0" w:firstRowLastColumn="0" w:lastRowFirstColumn="0" w:lastRowLastColumn="0"/>
              <w:rPr>
                <w:sz w:val="12"/>
                <w:szCs w:val="12"/>
              </w:rPr>
            </w:pPr>
          </w:p>
        </w:tc>
        <w:tc>
          <w:tcPr>
            <w:tcW w:w="425" w:type="dxa"/>
          </w:tcPr>
          <w:p w14:paraId="62D08B74" w14:textId="77777777" w:rsidR="00F16A45" w:rsidRPr="000F1F50" w:rsidRDefault="00F16A45" w:rsidP="00481903">
            <w:pPr>
              <w:pStyle w:val="TableText"/>
              <w:spacing w:line="240" w:lineRule="auto"/>
              <w:jc w:val="right"/>
              <w:cnfStyle w:val="000000100000" w:firstRow="0" w:lastRow="0" w:firstColumn="0" w:lastColumn="0" w:oddVBand="0" w:evenVBand="0" w:oddHBand="1" w:evenHBand="0" w:firstRowFirstColumn="0" w:firstRowLastColumn="0" w:lastRowFirstColumn="0" w:lastRowLastColumn="0"/>
              <w:rPr>
                <w:sz w:val="12"/>
                <w:szCs w:val="12"/>
              </w:rPr>
            </w:pPr>
          </w:p>
        </w:tc>
        <w:tc>
          <w:tcPr>
            <w:tcW w:w="755" w:type="dxa"/>
          </w:tcPr>
          <w:p w14:paraId="7582D594" w14:textId="77777777" w:rsidR="00F16A45" w:rsidRPr="000F1F50" w:rsidRDefault="00F16A45" w:rsidP="00481903">
            <w:pPr>
              <w:pStyle w:val="TableText"/>
              <w:spacing w:line="240" w:lineRule="auto"/>
              <w:jc w:val="right"/>
              <w:cnfStyle w:val="000000100000" w:firstRow="0" w:lastRow="0" w:firstColumn="0" w:lastColumn="0" w:oddVBand="0" w:evenVBand="0" w:oddHBand="1" w:evenHBand="0" w:firstRowFirstColumn="0" w:firstRowLastColumn="0" w:lastRowFirstColumn="0" w:lastRowLastColumn="0"/>
              <w:rPr>
                <w:sz w:val="12"/>
                <w:szCs w:val="12"/>
              </w:rPr>
            </w:pPr>
          </w:p>
        </w:tc>
        <w:tc>
          <w:tcPr>
            <w:tcW w:w="425" w:type="dxa"/>
          </w:tcPr>
          <w:p w14:paraId="374872F2" w14:textId="77777777" w:rsidR="00F16A45" w:rsidRPr="000F1F50" w:rsidRDefault="00F16A45" w:rsidP="00481903">
            <w:pPr>
              <w:pStyle w:val="TableText"/>
              <w:spacing w:line="240" w:lineRule="auto"/>
              <w:jc w:val="right"/>
              <w:cnfStyle w:val="000000100000" w:firstRow="0" w:lastRow="0" w:firstColumn="0" w:lastColumn="0" w:oddVBand="0" w:evenVBand="0" w:oddHBand="1" w:evenHBand="0" w:firstRowFirstColumn="0" w:firstRowLastColumn="0" w:lastRowFirstColumn="0" w:lastRowLastColumn="0"/>
              <w:rPr>
                <w:sz w:val="12"/>
                <w:szCs w:val="12"/>
              </w:rPr>
            </w:pPr>
          </w:p>
        </w:tc>
        <w:tc>
          <w:tcPr>
            <w:tcW w:w="709" w:type="dxa"/>
          </w:tcPr>
          <w:p w14:paraId="716E8235" w14:textId="77777777" w:rsidR="00F16A45" w:rsidRPr="000F1F50" w:rsidRDefault="00F16A45" w:rsidP="00481903">
            <w:pPr>
              <w:pStyle w:val="TableText"/>
              <w:spacing w:line="240" w:lineRule="auto"/>
              <w:jc w:val="right"/>
              <w:cnfStyle w:val="000000100000" w:firstRow="0" w:lastRow="0" w:firstColumn="0" w:lastColumn="0" w:oddVBand="0" w:evenVBand="0" w:oddHBand="1" w:evenHBand="0" w:firstRowFirstColumn="0" w:firstRowLastColumn="0" w:lastRowFirstColumn="0" w:lastRowLastColumn="0"/>
              <w:rPr>
                <w:sz w:val="12"/>
                <w:szCs w:val="12"/>
              </w:rPr>
            </w:pPr>
          </w:p>
        </w:tc>
        <w:tc>
          <w:tcPr>
            <w:tcW w:w="567" w:type="dxa"/>
          </w:tcPr>
          <w:p w14:paraId="3786125B" w14:textId="77777777" w:rsidR="00F16A45" w:rsidRPr="000F1F50" w:rsidRDefault="00F16A45" w:rsidP="00481903">
            <w:pPr>
              <w:pStyle w:val="TableText"/>
              <w:spacing w:line="240" w:lineRule="auto"/>
              <w:jc w:val="right"/>
              <w:cnfStyle w:val="000000100000" w:firstRow="0" w:lastRow="0" w:firstColumn="0" w:lastColumn="0" w:oddVBand="0" w:evenVBand="0" w:oddHBand="1" w:evenHBand="0" w:firstRowFirstColumn="0" w:firstRowLastColumn="0" w:lastRowFirstColumn="0" w:lastRowLastColumn="0"/>
              <w:rPr>
                <w:sz w:val="12"/>
                <w:szCs w:val="12"/>
              </w:rPr>
            </w:pPr>
          </w:p>
        </w:tc>
        <w:tc>
          <w:tcPr>
            <w:tcW w:w="709" w:type="dxa"/>
          </w:tcPr>
          <w:p w14:paraId="2D7B0480" w14:textId="77777777" w:rsidR="00F16A45" w:rsidRPr="000F1F50" w:rsidRDefault="00F16A45" w:rsidP="00481903">
            <w:pPr>
              <w:pStyle w:val="TableText"/>
              <w:spacing w:line="240" w:lineRule="auto"/>
              <w:jc w:val="right"/>
              <w:cnfStyle w:val="000000100000" w:firstRow="0" w:lastRow="0" w:firstColumn="0" w:lastColumn="0" w:oddVBand="0" w:evenVBand="0" w:oddHBand="1" w:evenHBand="0" w:firstRowFirstColumn="0" w:firstRowLastColumn="0" w:lastRowFirstColumn="0" w:lastRowLastColumn="0"/>
              <w:rPr>
                <w:sz w:val="12"/>
                <w:szCs w:val="12"/>
              </w:rPr>
            </w:pPr>
          </w:p>
        </w:tc>
        <w:tc>
          <w:tcPr>
            <w:tcW w:w="548" w:type="dxa"/>
            <w:tcBorders>
              <w:right w:val="single" w:sz="4" w:space="0" w:color="auto"/>
            </w:tcBorders>
          </w:tcPr>
          <w:p w14:paraId="63687B5D" w14:textId="77777777" w:rsidR="00F16A45" w:rsidRPr="000F1F50" w:rsidRDefault="00F16A45" w:rsidP="00481903">
            <w:pPr>
              <w:pStyle w:val="TableText"/>
              <w:spacing w:line="240" w:lineRule="auto"/>
              <w:jc w:val="right"/>
              <w:cnfStyle w:val="000000100000" w:firstRow="0" w:lastRow="0" w:firstColumn="0" w:lastColumn="0" w:oddVBand="0" w:evenVBand="0" w:oddHBand="1" w:evenHBand="0" w:firstRowFirstColumn="0" w:firstRowLastColumn="0" w:lastRowFirstColumn="0" w:lastRowLastColumn="0"/>
              <w:rPr>
                <w:sz w:val="12"/>
                <w:szCs w:val="12"/>
              </w:rPr>
            </w:pPr>
          </w:p>
        </w:tc>
        <w:tc>
          <w:tcPr>
            <w:tcW w:w="823" w:type="dxa"/>
            <w:tcBorders>
              <w:left w:val="single" w:sz="4" w:space="0" w:color="auto"/>
            </w:tcBorders>
          </w:tcPr>
          <w:p w14:paraId="3A5188F6" w14:textId="77777777" w:rsidR="00F16A45" w:rsidRPr="000F1F50" w:rsidRDefault="00F16A45" w:rsidP="00481903">
            <w:pPr>
              <w:pStyle w:val="TableText"/>
              <w:spacing w:line="240" w:lineRule="auto"/>
              <w:jc w:val="right"/>
              <w:cnfStyle w:val="000000100000" w:firstRow="0" w:lastRow="0" w:firstColumn="0" w:lastColumn="0" w:oddVBand="0" w:evenVBand="0" w:oddHBand="1" w:evenHBand="0" w:firstRowFirstColumn="0" w:firstRowLastColumn="0" w:lastRowFirstColumn="0" w:lastRowLastColumn="0"/>
              <w:rPr>
                <w:sz w:val="12"/>
                <w:szCs w:val="12"/>
              </w:rPr>
            </w:pPr>
          </w:p>
        </w:tc>
        <w:tc>
          <w:tcPr>
            <w:tcW w:w="851" w:type="dxa"/>
          </w:tcPr>
          <w:p w14:paraId="6500079A" w14:textId="77777777" w:rsidR="00F16A45" w:rsidRPr="000F1F50" w:rsidRDefault="00F16A45" w:rsidP="00481903">
            <w:pPr>
              <w:pStyle w:val="TableText"/>
              <w:spacing w:line="240" w:lineRule="auto"/>
              <w:jc w:val="right"/>
              <w:cnfStyle w:val="000000100000" w:firstRow="0" w:lastRow="0" w:firstColumn="0" w:lastColumn="0" w:oddVBand="0" w:evenVBand="0" w:oddHBand="1" w:evenHBand="0" w:firstRowFirstColumn="0" w:firstRowLastColumn="0" w:lastRowFirstColumn="0" w:lastRowLastColumn="0"/>
              <w:rPr>
                <w:sz w:val="12"/>
                <w:szCs w:val="12"/>
              </w:rPr>
            </w:pPr>
          </w:p>
        </w:tc>
        <w:tc>
          <w:tcPr>
            <w:tcW w:w="1276" w:type="dxa"/>
          </w:tcPr>
          <w:p w14:paraId="4D308EAA" w14:textId="77777777" w:rsidR="00F16A45" w:rsidRPr="000F1F50" w:rsidRDefault="00F16A45" w:rsidP="00481903">
            <w:pPr>
              <w:pStyle w:val="TableText"/>
              <w:spacing w:line="240" w:lineRule="auto"/>
              <w:jc w:val="right"/>
              <w:cnfStyle w:val="000000100000" w:firstRow="0" w:lastRow="0" w:firstColumn="0" w:lastColumn="0" w:oddVBand="0" w:evenVBand="0" w:oddHBand="1" w:evenHBand="0" w:firstRowFirstColumn="0" w:firstRowLastColumn="0" w:lastRowFirstColumn="0" w:lastRowLastColumn="0"/>
              <w:rPr>
                <w:sz w:val="12"/>
                <w:szCs w:val="12"/>
              </w:rPr>
            </w:pPr>
          </w:p>
        </w:tc>
        <w:tc>
          <w:tcPr>
            <w:tcW w:w="1038" w:type="dxa"/>
          </w:tcPr>
          <w:p w14:paraId="5ADDE2ED" w14:textId="77777777" w:rsidR="00F16A45" w:rsidRPr="000F1F50" w:rsidRDefault="00F16A45" w:rsidP="00481903">
            <w:pPr>
              <w:pStyle w:val="TableText"/>
              <w:spacing w:line="240" w:lineRule="auto"/>
              <w:jc w:val="right"/>
              <w:cnfStyle w:val="000000100000" w:firstRow="0" w:lastRow="0" w:firstColumn="0" w:lastColumn="0" w:oddVBand="0" w:evenVBand="0" w:oddHBand="1" w:evenHBand="0" w:firstRowFirstColumn="0" w:firstRowLastColumn="0" w:lastRowFirstColumn="0" w:lastRowLastColumn="0"/>
              <w:rPr>
                <w:sz w:val="12"/>
                <w:szCs w:val="12"/>
              </w:rPr>
            </w:pPr>
          </w:p>
        </w:tc>
      </w:tr>
      <w:tr w:rsidR="0088420A" w:rsidRPr="000F1F50" w14:paraId="1CEEA8DD" w14:textId="77777777" w:rsidTr="0088420A">
        <w:tc>
          <w:tcPr>
            <w:cnfStyle w:val="001000000000" w:firstRow="0" w:lastRow="0" w:firstColumn="1" w:lastColumn="0" w:oddVBand="0" w:evenVBand="0" w:oddHBand="0" w:evenHBand="0" w:firstRowFirstColumn="0" w:firstRowLastColumn="0" w:lastRowFirstColumn="0" w:lastRowLastColumn="0"/>
            <w:tcW w:w="237" w:type="dxa"/>
          </w:tcPr>
          <w:p w14:paraId="4CA475BA" w14:textId="77777777" w:rsidR="00F16A45" w:rsidRPr="000F1F50" w:rsidRDefault="00F16A45" w:rsidP="00F16A45">
            <w:pPr>
              <w:pStyle w:val="TableText"/>
              <w:spacing w:line="240" w:lineRule="auto"/>
              <w:rPr>
                <w:sz w:val="12"/>
                <w:szCs w:val="12"/>
              </w:rPr>
            </w:pPr>
          </w:p>
        </w:tc>
        <w:tc>
          <w:tcPr>
            <w:tcW w:w="756" w:type="dxa"/>
            <w:tcBorders>
              <w:right w:val="single" w:sz="4" w:space="0" w:color="auto"/>
            </w:tcBorders>
          </w:tcPr>
          <w:p w14:paraId="5C452EF2" w14:textId="77706797" w:rsidR="00F16A45" w:rsidRPr="000F1F50" w:rsidRDefault="00F16A45" w:rsidP="00F16A45">
            <w:pPr>
              <w:pStyle w:val="TableText"/>
              <w:spacing w:line="240" w:lineRule="auto"/>
              <w:cnfStyle w:val="000000000000" w:firstRow="0" w:lastRow="0" w:firstColumn="0" w:lastColumn="0" w:oddVBand="0" w:evenVBand="0" w:oddHBand="0" w:evenHBand="0" w:firstRowFirstColumn="0" w:firstRowLastColumn="0" w:lastRowFirstColumn="0" w:lastRowLastColumn="0"/>
              <w:rPr>
                <w:sz w:val="12"/>
                <w:szCs w:val="12"/>
              </w:rPr>
            </w:pPr>
            <w:r w:rsidRPr="000F1F50">
              <w:rPr>
                <w:sz w:val="12"/>
                <w:szCs w:val="12"/>
              </w:rPr>
              <w:t>17/2/</w:t>
            </w:r>
            <w:r w:rsidR="00DE4991" w:rsidRPr="000F1F50">
              <w:rPr>
                <w:sz w:val="12"/>
                <w:szCs w:val="12"/>
              </w:rPr>
              <w:t>20</w:t>
            </w:r>
            <w:r w:rsidR="00DE4991">
              <w:rPr>
                <w:sz w:val="12"/>
                <w:szCs w:val="12"/>
              </w:rPr>
              <w:t>22</w:t>
            </w:r>
          </w:p>
        </w:tc>
        <w:tc>
          <w:tcPr>
            <w:tcW w:w="755" w:type="dxa"/>
            <w:tcBorders>
              <w:left w:val="single" w:sz="4" w:space="0" w:color="auto"/>
            </w:tcBorders>
          </w:tcPr>
          <w:p w14:paraId="6526D39A" w14:textId="77777777" w:rsidR="00F16A45" w:rsidRPr="000F1F50" w:rsidRDefault="00F16A45" w:rsidP="00481903">
            <w:pPr>
              <w:pStyle w:val="TableText"/>
              <w:spacing w:line="240" w:lineRule="auto"/>
              <w:jc w:val="right"/>
              <w:cnfStyle w:val="000000000000" w:firstRow="0" w:lastRow="0" w:firstColumn="0" w:lastColumn="0" w:oddVBand="0" w:evenVBand="0" w:oddHBand="0" w:evenHBand="0" w:firstRowFirstColumn="0" w:firstRowLastColumn="0" w:lastRowFirstColumn="0" w:lastRowLastColumn="0"/>
              <w:rPr>
                <w:sz w:val="12"/>
                <w:szCs w:val="12"/>
              </w:rPr>
            </w:pPr>
          </w:p>
        </w:tc>
        <w:tc>
          <w:tcPr>
            <w:tcW w:w="425" w:type="dxa"/>
          </w:tcPr>
          <w:p w14:paraId="1D90A50C" w14:textId="77777777" w:rsidR="00F16A45" w:rsidRPr="000F1F50" w:rsidRDefault="00F16A45" w:rsidP="00481903">
            <w:pPr>
              <w:pStyle w:val="TableText"/>
              <w:spacing w:line="240" w:lineRule="auto"/>
              <w:jc w:val="right"/>
              <w:cnfStyle w:val="000000000000" w:firstRow="0" w:lastRow="0" w:firstColumn="0" w:lastColumn="0" w:oddVBand="0" w:evenVBand="0" w:oddHBand="0" w:evenHBand="0" w:firstRowFirstColumn="0" w:firstRowLastColumn="0" w:lastRowFirstColumn="0" w:lastRowLastColumn="0"/>
              <w:rPr>
                <w:sz w:val="12"/>
                <w:szCs w:val="12"/>
              </w:rPr>
            </w:pPr>
          </w:p>
        </w:tc>
        <w:tc>
          <w:tcPr>
            <w:tcW w:w="709" w:type="dxa"/>
          </w:tcPr>
          <w:p w14:paraId="511878A0" w14:textId="77777777" w:rsidR="00F16A45" w:rsidRPr="000F1F50" w:rsidRDefault="00F16A45" w:rsidP="00481903">
            <w:pPr>
              <w:pStyle w:val="TableText"/>
              <w:spacing w:line="240" w:lineRule="auto"/>
              <w:jc w:val="right"/>
              <w:cnfStyle w:val="000000000000" w:firstRow="0" w:lastRow="0" w:firstColumn="0" w:lastColumn="0" w:oddVBand="0" w:evenVBand="0" w:oddHBand="0" w:evenHBand="0" w:firstRowFirstColumn="0" w:firstRowLastColumn="0" w:lastRowFirstColumn="0" w:lastRowLastColumn="0"/>
              <w:rPr>
                <w:sz w:val="12"/>
                <w:szCs w:val="12"/>
              </w:rPr>
            </w:pPr>
          </w:p>
        </w:tc>
        <w:tc>
          <w:tcPr>
            <w:tcW w:w="425" w:type="dxa"/>
          </w:tcPr>
          <w:p w14:paraId="32D885F7" w14:textId="77777777" w:rsidR="00F16A45" w:rsidRPr="000F1F50" w:rsidRDefault="00F16A45" w:rsidP="00481903">
            <w:pPr>
              <w:pStyle w:val="TableText"/>
              <w:spacing w:line="240" w:lineRule="auto"/>
              <w:jc w:val="right"/>
              <w:cnfStyle w:val="000000000000" w:firstRow="0" w:lastRow="0" w:firstColumn="0" w:lastColumn="0" w:oddVBand="0" w:evenVBand="0" w:oddHBand="0" w:evenHBand="0" w:firstRowFirstColumn="0" w:firstRowLastColumn="0" w:lastRowFirstColumn="0" w:lastRowLastColumn="0"/>
              <w:rPr>
                <w:sz w:val="12"/>
                <w:szCs w:val="12"/>
              </w:rPr>
            </w:pPr>
          </w:p>
        </w:tc>
        <w:tc>
          <w:tcPr>
            <w:tcW w:w="709" w:type="dxa"/>
          </w:tcPr>
          <w:p w14:paraId="37982787" w14:textId="77777777" w:rsidR="00F16A45" w:rsidRPr="000F1F50" w:rsidRDefault="00F16A45" w:rsidP="00481903">
            <w:pPr>
              <w:pStyle w:val="TableText"/>
              <w:spacing w:line="240" w:lineRule="auto"/>
              <w:jc w:val="right"/>
              <w:cnfStyle w:val="000000000000" w:firstRow="0" w:lastRow="0" w:firstColumn="0" w:lastColumn="0" w:oddVBand="0" w:evenVBand="0" w:oddHBand="0" w:evenHBand="0" w:firstRowFirstColumn="0" w:firstRowLastColumn="0" w:lastRowFirstColumn="0" w:lastRowLastColumn="0"/>
              <w:rPr>
                <w:sz w:val="12"/>
                <w:szCs w:val="12"/>
              </w:rPr>
            </w:pPr>
          </w:p>
        </w:tc>
        <w:tc>
          <w:tcPr>
            <w:tcW w:w="567" w:type="dxa"/>
          </w:tcPr>
          <w:p w14:paraId="633134DE" w14:textId="77777777" w:rsidR="00F16A45" w:rsidRPr="000F1F50" w:rsidRDefault="00F16A45" w:rsidP="00481903">
            <w:pPr>
              <w:pStyle w:val="TableText"/>
              <w:spacing w:line="240" w:lineRule="auto"/>
              <w:jc w:val="right"/>
              <w:cnfStyle w:val="000000000000" w:firstRow="0" w:lastRow="0" w:firstColumn="0" w:lastColumn="0" w:oddVBand="0" w:evenVBand="0" w:oddHBand="0" w:evenHBand="0" w:firstRowFirstColumn="0" w:firstRowLastColumn="0" w:lastRowFirstColumn="0" w:lastRowLastColumn="0"/>
              <w:rPr>
                <w:sz w:val="12"/>
                <w:szCs w:val="12"/>
              </w:rPr>
            </w:pPr>
          </w:p>
        </w:tc>
        <w:tc>
          <w:tcPr>
            <w:tcW w:w="709" w:type="dxa"/>
          </w:tcPr>
          <w:p w14:paraId="71C605C8" w14:textId="77777777" w:rsidR="00F16A45" w:rsidRPr="000F1F50" w:rsidRDefault="00F16A45" w:rsidP="00481903">
            <w:pPr>
              <w:pStyle w:val="TableText"/>
              <w:spacing w:line="240" w:lineRule="auto"/>
              <w:jc w:val="right"/>
              <w:cnfStyle w:val="000000000000" w:firstRow="0" w:lastRow="0" w:firstColumn="0" w:lastColumn="0" w:oddVBand="0" w:evenVBand="0" w:oddHBand="0" w:evenHBand="0" w:firstRowFirstColumn="0" w:firstRowLastColumn="0" w:lastRowFirstColumn="0" w:lastRowLastColumn="0"/>
              <w:rPr>
                <w:sz w:val="12"/>
                <w:szCs w:val="12"/>
              </w:rPr>
            </w:pPr>
          </w:p>
        </w:tc>
        <w:tc>
          <w:tcPr>
            <w:tcW w:w="567" w:type="dxa"/>
            <w:tcBorders>
              <w:right w:val="single" w:sz="4" w:space="0" w:color="auto"/>
            </w:tcBorders>
          </w:tcPr>
          <w:p w14:paraId="54D8C164" w14:textId="77777777" w:rsidR="00F16A45" w:rsidRPr="000F1F50" w:rsidRDefault="00F16A45" w:rsidP="00481903">
            <w:pPr>
              <w:pStyle w:val="TableText"/>
              <w:spacing w:line="240" w:lineRule="auto"/>
              <w:jc w:val="right"/>
              <w:cnfStyle w:val="000000000000" w:firstRow="0" w:lastRow="0" w:firstColumn="0" w:lastColumn="0" w:oddVBand="0" w:evenVBand="0" w:oddHBand="0" w:evenHBand="0" w:firstRowFirstColumn="0" w:firstRowLastColumn="0" w:lastRowFirstColumn="0" w:lastRowLastColumn="0"/>
              <w:rPr>
                <w:sz w:val="12"/>
                <w:szCs w:val="12"/>
              </w:rPr>
            </w:pPr>
          </w:p>
        </w:tc>
        <w:tc>
          <w:tcPr>
            <w:tcW w:w="662" w:type="dxa"/>
            <w:tcBorders>
              <w:left w:val="single" w:sz="4" w:space="0" w:color="auto"/>
            </w:tcBorders>
          </w:tcPr>
          <w:p w14:paraId="1A7FFD5C" w14:textId="77777777" w:rsidR="00F16A45" w:rsidRPr="000F1F50" w:rsidRDefault="00F16A45" w:rsidP="00481903">
            <w:pPr>
              <w:pStyle w:val="TableText"/>
              <w:spacing w:line="240" w:lineRule="auto"/>
              <w:jc w:val="right"/>
              <w:cnfStyle w:val="000000000000" w:firstRow="0" w:lastRow="0" w:firstColumn="0" w:lastColumn="0" w:oddVBand="0" w:evenVBand="0" w:oddHBand="0" w:evenHBand="0" w:firstRowFirstColumn="0" w:firstRowLastColumn="0" w:lastRowFirstColumn="0" w:lastRowLastColumn="0"/>
              <w:rPr>
                <w:sz w:val="12"/>
                <w:szCs w:val="12"/>
              </w:rPr>
            </w:pPr>
          </w:p>
        </w:tc>
        <w:tc>
          <w:tcPr>
            <w:tcW w:w="425" w:type="dxa"/>
          </w:tcPr>
          <w:p w14:paraId="3B2778B5" w14:textId="77777777" w:rsidR="00F16A45" w:rsidRPr="000F1F50" w:rsidRDefault="00F16A45" w:rsidP="00481903">
            <w:pPr>
              <w:pStyle w:val="TableText"/>
              <w:spacing w:line="240" w:lineRule="auto"/>
              <w:jc w:val="right"/>
              <w:cnfStyle w:val="000000000000" w:firstRow="0" w:lastRow="0" w:firstColumn="0" w:lastColumn="0" w:oddVBand="0" w:evenVBand="0" w:oddHBand="0" w:evenHBand="0" w:firstRowFirstColumn="0" w:firstRowLastColumn="0" w:lastRowFirstColumn="0" w:lastRowLastColumn="0"/>
              <w:rPr>
                <w:sz w:val="12"/>
                <w:szCs w:val="12"/>
              </w:rPr>
            </w:pPr>
          </w:p>
        </w:tc>
        <w:tc>
          <w:tcPr>
            <w:tcW w:w="755" w:type="dxa"/>
          </w:tcPr>
          <w:p w14:paraId="744E79C3" w14:textId="77777777" w:rsidR="00F16A45" w:rsidRPr="000F1F50" w:rsidRDefault="00F16A45" w:rsidP="00481903">
            <w:pPr>
              <w:pStyle w:val="TableText"/>
              <w:spacing w:line="240" w:lineRule="auto"/>
              <w:jc w:val="right"/>
              <w:cnfStyle w:val="000000000000" w:firstRow="0" w:lastRow="0" w:firstColumn="0" w:lastColumn="0" w:oddVBand="0" w:evenVBand="0" w:oddHBand="0" w:evenHBand="0" w:firstRowFirstColumn="0" w:firstRowLastColumn="0" w:lastRowFirstColumn="0" w:lastRowLastColumn="0"/>
              <w:rPr>
                <w:sz w:val="12"/>
                <w:szCs w:val="12"/>
              </w:rPr>
            </w:pPr>
          </w:p>
        </w:tc>
        <w:tc>
          <w:tcPr>
            <w:tcW w:w="425" w:type="dxa"/>
          </w:tcPr>
          <w:p w14:paraId="01A22F05" w14:textId="77777777" w:rsidR="00F16A45" w:rsidRPr="000F1F50" w:rsidRDefault="00F16A45" w:rsidP="00481903">
            <w:pPr>
              <w:pStyle w:val="TableText"/>
              <w:spacing w:line="240" w:lineRule="auto"/>
              <w:jc w:val="right"/>
              <w:cnfStyle w:val="000000000000" w:firstRow="0" w:lastRow="0" w:firstColumn="0" w:lastColumn="0" w:oddVBand="0" w:evenVBand="0" w:oddHBand="0" w:evenHBand="0" w:firstRowFirstColumn="0" w:firstRowLastColumn="0" w:lastRowFirstColumn="0" w:lastRowLastColumn="0"/>
              <w:rPr>
                <w:sz w:val="12"/>
                <w:szCs w:val="12"/>
              </w:rPr>
            </w:pPr>
          </w:p>
        </w:tc>
        <w:tc>
          <w:tcPr>
            <w:tcW w:w="709" w:type="dxa"/>
          </w:tcPr>
          <w:p w14:paraId="45F28BFD" w14:textId="77777777" w:rsidR="00F16A45" w:rsidRPr="000F1F50" w:rsidRDefault="00F16A45" w:rsidP="00481903">
            <w:pPr>
              <w:pStyle w:val="TableText"/>
              <w:spacing w:line="240" w:lineRule="auto"/>
              <w:jc w:val="right"/>
              <w:cnfStyle w:val="000000000000" w:firstRow="0" w:lastRow="0" w:firstColumn="0" w:lastColumn="0" w:oddVBand="0" w:evenVBand="0" w:oddHBand="0" w:evenHBand="0" w:firstRowFirstColumn="0" w:firstRowLastColumn="0" w:lastRowFirstColumn="0" w:lastRowLastColumn="0"/>
              <w:rPr>
                <w:sz w:val="12"/>
                <w:szCs w:val="12"/>
              </w:rPr>
            </w:pPr>
          </w:p>
        </w:tc>
        <w:tc>
          <w:tcPr>
            <w:tcW w:w="567" w:type="dxa"/>
          </w:tcPr>
          <w:p w14:paraId="04F13318" w14:textId="77777777" w:rsidR="00F16A45" w:rsidRPr="000F1F50" w:rsidRDefault="00F16A45" w:rsidP="00481903">
            <w:pPr>
              <w:pStyle w:val="TableText"/>
              <w:spacing w:line="240" w:lineRule="auto"/>
              <w:jc w:val="right"/>
              <w:cnfStyle w:val="000000000000" w:firstRow="0" w:lastRow="0" w:firstColumn="0" w:lastColumn="0" w:oddVBand="0" w:evenVBand="0" w:oddHBand="0" w:evenHBand="0" w:firstRowFirstColumn="0" w:firstRowLastColumn="0" w:lastRowFirstColumn="0" w:lastRowLastColumn="0"/>
              <w:rPr>
                <w:sz w:val="12"/>
                <w:szCs w:val="12"/>
              </w:rPr>
            </w:pPr>
          </w:p>
        </w:tc>
        <w:tc>
          <w:tcPr>
            <w:tcW w:w="709" w:type="dxa"/>
          </w:tcPr>
          <w:p w14:paraId="3441D7EA" w14:textId="77777777" w:rsidR="00F16A45" w:rsidRPr="000F1F50" w:rsidRDefault="00F16A45" w:rsidP="00481903">
            <w:pPr>
              <w:pStyle w:val="TableText"/>
              <w:spacing w:line="240" w:lineRule="auto"/>
              <w:jc w:val="right"/>
              <w:cnfStyle w:val="000000000000" w:firstRow="0" w:lastRow="0" w:firstColumn="0" w:lastColumn="0" w:oddVBand="0" w:evenVBand="0" w:oddHBand="0" w:evenHBand="0" w:firstRowFirstColumn="0" w:firstRowLastColumn="0" w:lastRowFirstColumn="0" w:lastRowLastColumn="0"/>
              <w:rPr>
                <w:sz w:val="12"/>
                <w:szCs w:val="12"/>
              </w:rPr>
            </w:pPr>
          </w:p>
        </w:tc>
        <w:tc>
          <w:tcPr>
            <w:tcW w:w="548" w:type="dxa"/>
            <w:tcBorders>
              <w:right w:val="single" w:sz="4" w:space="0" w:color="auto"/>
            </w:tcBorders>
          </w:tcPr>
          <w:p w14:paraId="5D050EB0" w14:textId="77777777" w:rsidR="00F16A45" w:rsidRPr="000F1F50" w:rsidRDefault="00F16A45" w:rsidP="00481903">
            <w:pPr>
              <w:pStyle w:val="TableText"/>
              <w:spacing w:line="240" w:lineRule="auto"/>
              <w:jc w:val="right"/>
              <w:cnfStyle w:val="000000000000" w:firstRow="0" w:lastRow="0" w:firstColumn="0" w:lastColumn="0" w:oddVBand="0" w:evenVBand="0" w:oddHBand="0" w:evenHBand="0" w:firstRowFirstColumn="0" w:firstRowLastColumn="0" w:lastRowFirstColumn="0" w:lastRowLastColumn="0"/>
              <w:rPr>
                <w:sz w:val="12"/>
                <w:szCs w:val="12"/>
              </w:rPr>
            </w:pPr>
          </w:p>
        </w:tc>
        <w:tc>
          <w:tcPr>
            <w:tcW w:w="823" w:type="dxa"/>
            <w:tcBorders>
              <w:left w:val="single" w:sz="4" w:space="0" w:color="auto"/>
            </w:tcBorders>
          </w:tcPr>
          <w:p w14:paraId="2611583F" w14:textId="77777777" w:rsidR="00F16A45" w:rsidRPr="000F1F50" w:rsidRDefault="00F16A45" w:rsidP="00481903">
            <w:pPr>
              <w:pStyle w:val="TableText"/>
              <w:spacing w:line="240" w:lineRule="auto"/>
              <w:jc w:val="right"/>
              <w:cnfStyle w:val="000000000000" w:firstRow="0" w:lastRow="0" w:firstColumn="0" w:lastColumn="0" w:oddVBand="0" w:evenVBand="0" w:oddHBand="0" w:evenHBand="0" w:firstRowFirstColumn="0" w:firstRowLastColumn="0" w:lastRowFirstColumn="0" w:lastRowLastColumn="0"/>
              <w:rPr>
                <w:sz w:val="12"/>
                <w:szCs w:val="12"/>
              </w:rPr>
            </w:pPr>
          </w:p>
        </w:tc>
        <w:tc>
          <w:tcPr>
            <w:tcW w:w="851" w:type="dxa"/>
          </w:tcPr>
          <w:p w14:paraId="0273285B" w14:textId="77777777" w:rsidR="00F16A45" w:rsidRPr="000F1F50" w:rsidRDefault="00F16A45" w:rsidP="00481903">
            <w:pPr>
              <w:pStyle w:val="TableText"/>
              <w:spacing w:line="240" w:lineRule="auto"/>
              <w:jc w:val="right"/>
              <w:cnfStyle w:val="000000000000" w:firstRow="0" w:lastRow="0" w:firstColumn="0" w:lastColumn="0" w:oddVBand="0" w:evenVBand="0" w:oddHBand="0" w:evenHBand="0" w:firstRowFirstColumn="0" w:firstRowLastColumn="0" w:lastRowFirstColumn="0" w:lastRowLastColumn="0"/>
              <w:rPr>
                <w:sz w:val="12"/>
                <w:szCs w:val="12"/>
              </w:rPr>
            </w:pPr>
          </w:p>
        </w:tc>
        <w:tc>
          <w:tcPr>
            <w:tcW w:w="1276" w:type="dxa"/>
          </w:tcPr>
          <w:p w14:paraId="16DFD8C5" w14:textId="77777777" w:rsidR="00F16A45" w:rsidRPr="000F1F50" w:rsidRDefault="00F16A45" w:rsidP="00481903">
            <w:pPr>
              <w:pStyle w:val="TableText"/>
              <w:spacing w:line="240" w:lineRule="auto"/>
              <w:jc w:val="right"/>
              <w:cnfStyle w:val="000000000000" w:firstRow="0" w:lastRow="0" w:firstColumn="0" w:lastColumn="0" w:oddVBand="0" w:evenVBand="0" w:oddHBand="0" w:evenHBand="0" w:firstRowFirstColumn="0" w:firstRowLastColumn="0" w:lastRowFirstColumn="0" w:lastRowLastColumn="0"/>
              <w:rPr>
                <w:sz w:val="12"/>
                <w:szCs w:val="12"/>
              </w:rPr>
            </w:pPr>
          </w:p>
        </w:tc>
        <w:tc>
          <w:tcPr>
            <w:tcW w:w="1038" w:type="dxa"/>
          </w:tcPr>
          <w:p w14:paraId="248BA967" w14:textId="77777777" w:rsidR="00F16A45" w:rsidRPr="000F1F50" w:rsidRDefault="00F16A45" w:rsidP="00481903">
            <w:pPr>
              <w:pStyle w:val="TableText"/>
              <w:spacing w:line="240" w:lineRule="auto"/>
              <w:jc w:val="right"/>
              <w:cnfStyle w:val="000000000000" w:firstRow="0" w:lastRow="0" w:firstColumn="0" w:lastColumn="0" w:oddVBand="0" w:evenVBand="0" w:oddHBand="0" w:evenHBand="0" w:firstRowFirstColumn="0" w:firstRowLastColumn="0" w:lastRowFirstColumn="0" w:lastRowLastColumn="0"/>
              <w:rPr>
                <w:sz w:val="12"/>
                <w:szCs w:val="12"/>
              </w:rPr>
            </w:pPr>
          </w:p>
        </w:tc>
      </w:tr>
      <w:tr w:rsidR="0088420A" w:rsidRPr="000F1F50" w14:paraId="75536A5A" w14:textId="77777777" w:rsidTr="008842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 w:type="dxa"/>
          </w:tcPr>
          <w:p w14:paraId="6F1C9E9D" w14:textId="77777777" w:rsidR="00F16A45" w:rsidRPr="000F1F50" w:rsidRDefault="00F16A45" w:rsidP="00F16A45">
            <w:pPr>
              <w:pStyle w:val="TableText"/>
              <w:spacing w:line="240" w:lineRule="auto"/>
              <w:rPr>
                <w:sz w:val="12"/>
                <w:szCs w:val="12"/>
              </w:rPr>
            </w:pPr>
          </w:p>
        </w:tc>
        <w:tc>
          <w:tcPr>
            <w:tcW w:w="756" w:type="dxa"/>
            <w:tcBorders>
              <w:right w:val="single" w:sz="4" w:space="0" w:color="auto"/>
            </w:tcBorders>
          </w:tcPr>
          <w:p w14:paraId="37FDE572" w14:textId="2E42FBA6" w:rsidR="00F16A45" w:rsidRPr="000F1F50" w:rsidRDefault="00F16A45" w:rsidP="00F16A45">
            <w:pPr>
              <w:pStyle w:val="TableText"/>
              <w:spacing w:line="240" w:lineRule="auto"/>
              <w:cnfStyle w:val="000000100000" w:firstRow="0" w:lastRow="0" w:firstColumn="0" w:lastColumn="0" w:oddVBand="0" w:evenVBand="0" w:oddHBand="1" w:evenHBand="0" w:firstRowFirstColumn="0" w:firstRowLastColumn="0" w:lastRowFirstColumn="0" w:lastRowLastColumn="0"/>
              <w:rPr>
                <w:sz w:val="12"/>
                <w:szCs w:val="12"/>
              </w:rPr>
            </w:pPr>
            <w:r w:rsidRPr="000F1F50">
              <w:rPr>
                <w:sz w:val="12"/>
                <w:szCs w:val="12"/>
              </w:rPr>
              <w:t>18/2/</w:t>
            </w:r>
            <w:r w:rsidR="00DE4991" w:rsidRPr="000F1F50">
              <w:rPr>
                <w:sz w:val="12"/>
                <w:szCs w:val="12"/>
              </w:rPr>
              <w:t>20</w:t>
            </w:r>
            <w:r w:rsidR="00DE4991">
              <w:rPr>
                <w:sz w:val="12"/>
                <w:szCs w:val="12"/>
              </w:rPr>
              <w:t>22</w:t>
            </w:r>
          </w:p>
        </w:tc>
        <w:tc>
          <w:tcPr>
            <w:tcW w:w="755" w:type="dxa"/>
            <w:tcBorders>
              <w:left w:val="single" w:sz="4" w:space="0" w:color="auto"/>
            </w:tcBorders>
          </w:tcPr>
          <w:p w14:paraId="22581C5C" w14:textId="77777777" w:rsidR="00F16A45" w:rsidRPr="000F1F50" w:rsidRDefault="00F16A45" w:rsidP="00481903">
            <w:pPr>
              <w:pStyle w:val="TableText"/>
              <w:spacing w:line="240" w:lineRule="auto"/>
              <w:jc w:val="right"/>
              <w:cnfStyle w:val="000000100000" w:firstRow="0" w:lastRow="0" w:firstColumn="0" w:lastColumn="0" w:oddVBand="0" w:evenVBand="0" w:oddHBand="1" w:evenHBand="0" w:firstRowFirstColumn="0" w:firstRowLastColumn="0" w:lastRowFirstColumn="0" w:lastRowLastColumn="0"/>
              <w:rPr>
                <w:sz w:val="12"/>
                <w:szCs w:val="12"/>
              </w:rPr>
            </w:pPr>
          </w:p>
        </w:tc>
        <w:tc>
          <w:tcPr>
            <w:tcW w:w="425" w:type="dxa"/>
          </w:tcPr>
          <w:p w14:paraId="2944B603" w14:textId="77777777" w:rsidR="00F16A45" w:rsidRPr="000F1F50" w:rsidRDefault="00F16A45" w:rsidP="00481903">
            <w:pPr>
              <w:pStyle w:val="TableText"/>
              <w:spacing w:line="240" w:lineRule="auto"/>
              <w:jc w:val="right"/>
              <w:cnfStyle w:val="000000100000" w:firstRow="0" w:lastRow="0" w:firstColumn="0" w:lastColumn="0" w:oddVBand="0" w:evenVBand="0" w:oddHBand="1" w:evenHBand="0" w:firstRowFirstColumn="0" w:firstRowLastColumn="0" w:lastRowFirstColumn="0" w:lastRowLastColumn="0"/>
              <w:rPr>
                <w:sz w:val="12"/>
                <w:szCs w:val="12"/>
              </w:rPr>
            </w:pPr>
          </w:p>
        </w:tc>
        <w:tc>
          <w:tcPr>
            <w:tcW w:w="709" w:type="dxa"/>
          </w:tcPr>
          <w:p w14:paraId="4C075A98" w14:textId="77777777" w:rsidR="00F16A45" w:rsidRPr="000F1F50" w:rsidRDefault="00F16A45" w:rsidP="00481903">
            <w:pPr>
              <w:pStyle w:val="TableText"/>
              <w:spacing w:line="240" w:lineRule="auto"/>
              <w:jc w:val="right"/>
              <w:cnfStyle w:val="000000100000" w:firstRow="0" w:lastRow="0" w:firstColumn="0" w:lastColumn="0" w:oddVBand="0" w:evenVBand="0" w:oddHBand="1" w:evenHBand="0" w:firstRowFirstColumn="0" w:firstRowLastColumn="0" w:lastRowFirstColumn="0" w:lastRowLastColumn="0"/>
              <w:rPr>
                <w:sz w:val="12"/>
                <w:szCs w:val="12"/>
              </w:rPr>
            </w:pPr>
          </w:p>
        </w:tc>
        <w:tc>
          <w:tcPr>
            <w:tcW w:w="425" w:type="dxa"/>
          </w:tcPr>
          <w:p w14:paraId="512B5A53" w14:textId="77777777" w:rsidR="00F16A45" w:rsidRPr="000F1F50" w:rsidRDefault="00F16A45" w:rsidP="00481903">
            <w:pPr>
              <w:pStyle w:val="TableText"/>
              <w:spacing w:line="240" w:lineRule="auto"/>
              <w:jc w:val="right"/>
              <w:cnfStyle w:val="000000100000" w:firstRow="0" w:lastRow="0" w:firstColumn="0" w:lastColumn="0" w:oddVBand="0" w:evenVBand="0" w:oddHBand="1" w:evenHBand="0" w:firstRowFirstColumn="0" w:firstRowLastColumn="0" w:lastRowFirstColumn="0" w:lastRowLastColumn="0"/>
              <w:rPr>
                <w:sz w:val="12"/>
                <w:szCs w:val="12"/>
              </w:rPr>
            </w:pPr>
          </w:p>
        </w:tc>
        <w:tc>
          <w:tcPr>
            <w:tcW w:w="709" w:type="dxa"/>
          </w:tcPr>
          <w:p w14:paraId="07350B95" w14:textId="77777777" w:rsidR="00F16A45" w:rsidRPr="000F1F50" w:rsidRDefault="00F16A45" w:rsidP="00481903">
            <w:pPr>
              <w:pStyle w:val="TableText"/>
              <w:spacing w:line="240" w:lineRule="auto"/>
              <w:jc w:val="right"/>
              <w:cnfStyle w:val="000000100000" w:firstRow="0" w:lastRow="0" w:firstColumn="0" w:lastColumn="0" w:oddVBand="0" w:evenVBand="0" w:oddHBand="1" w:evenHBand="0" w:firstRowFirstColumn="0" w:firstRowLastColumn="0" w:lastRowFirstColumn="0" w:lastRowLastColumn="0"/>
              <w:rPr>
                <w:sz w:val="12"/>
                <w:szCs w:val="12"/>
              </w:rPr>
            </w:pPr>
          </w:p>
        </w:tc>
        <w:tc>
          <w:tcPr>
            <w:tcW w:w="567" w:type="dxa"/>
          </w:tcPr>
          <w:p w14:paraId="1909F60C" w14:textId="77777777" w:rsidR="00F16A45" w:rsidRPr="000F1F50" w:rsidRDefault="00F16A45" w:rsidP="00481903">
            <w:pPr>
              <w:pStyle w:val="TableText"/>
              <w:spacing w:line="240" w:lineRule="auto"/>
              <w:jc w:val="right"/>
              <w:cnfStyle w:val="000000100000" w:firstRow="0" w:lastRow="0" w:firstColumn="0" w:lastColumn="0" w:oddVBand="0" w:evenVBand="0" w:oddHBand="1" w:evenHBand="0" w:firstRowFirstColumn="0" w:firstRowLastColumn="0" w:lastRowFirstColumn="0" w:lastRowLastColumn="0"/>
              <w:rPr>
                <w:sz w:val="12"/>
                <w:szCs w:val="12"/>
              </w:rPr>
            </w:pPr>
          </w:p>
        </w:tc>
        <w:tc>
          <w:tcPr>
            <w:tcW w:w="709" w:type="dxa"/>
          </w:tcPr>
          <w:p w14:paraId="2E30F690" w14:textId="77777777" w:rsidR="00F16A45" w:rsidRPr="000F1F50" w:rsidRDefault="00F16A45" w:rsidP="00481903">
            <w:pPr>
              <w:pStyle w:val="TableText"/>
              <w:spacing w:line="240" w:lineRule="auto"/>
              <w:jc w:val="right"/>
              <w:cnfStyle w:val="000000100000" w:firstRow="0" w:lastRow="0" w:firstColumn="0" w:lastColumn="0" w:oddVBand="0" w:evenVBand="0" w:oddHBand="1" w:evenHBand="0" w:firstRowFirstColumn="0" w:firstRowLastColumn="0" w:lastRowFirstColumn="0" w:lastRowLastColumn="0"/>
              <w:rPr>
                <w:sz w:val="12"/>
                <w:szCs w:val="12"/>
              </w:rPr>
            </w:pPr>
          </w:p>
        </w:tc>
        <w:tc>
          <w:tcPr>
            <w:tcW w:w="567" w:type="dxa"/>
            <w:tcBorders>
              <w:right w:val="single" w:sz="4" w:space="0" w:color="auto"/>
            </w:tcBorders>
          </w:tcPr>
          <w:p w14:paraId="276FC1BD" w14:textId="77777777" w:rsidR="00F16A45" w:rsidRPr="000F1F50" w:rsidRDefault="00F16A45" w:rsidP="00481903">
            <w:pPr>
              <w:pStyle w:val="TableText"/>
              <w:spacing w:line="240" w:lineRule="auto"/>
              <w:jc w:val="right"/>
              <w:cnfStyle w:val="000000100000" w:firstRow="0" w:lastRow="0" w:firstColumn="0" w:lastColumn="0" w:oddVBand="0" w:evenVBand="0" w:oddHBand="1" w:evenHBand="0" w:firstRowFirstColumn="0" w:firstRowLastColumn="0" w:lastRowFirstColumn="0" w:lastRowLastColumn="0"/>
              <w:rPr>
                <w:sz w:val="12"/>
                <w:szCs w:val="12"/>
              </w:rPr>
            </w:pPr>
          </w:p>
        </w:tc>
        <w:tc>
          <w:tcPr>
            <w:tcW w:w="662" w:type="dxa"/>
            <w:tcBorders>
              <w:left w:val="single" w:sz="4" w:space="0" w:color="auto"/>
            </w:tcBorders>
          </w:tcPr>
          <w:p w14:paraId="056837D2" w14:textId="77777777" w:rsidR="00F16A45" w:rsidRPr="000F1F50" w:rsidRDefault="00F16A45" w:rsidP="00481903">
            <w:pPr>
              <w:pStyle w:val="TableText"/>
              <w:spacing w:line="240" w:lineRule="auto"/>
              <w:jc w:val="right"/>
              <w:cnfStyle w:val="000000100000" w:firstRow="0" w:lastRow="0" w:firstColumn="0" w:lastColumn="0" w:oddVBand="0" w:evenVBand="0" w:oddHBand="1" w:evenHBand="0" w:firstRowFirstColumn="0" w:firstRowLastColumn="0" w:lastRowFirstColumn="0" w:lastRowLastColumn="0"/>
              <w:rPr>
                <w:sz w:val="12"/>
                <w:szCs w:val="12"/>
              </w:rPr>
            </w:pPr>
          </w:p>
        </w:tc>
        <w:tc>
          <w:tcPr>
            <w:tcW w:w="425" w:type="dxa"/>
          </w:tcPr>
          <w:p w14:paraId="0A3223B2" w14:textId="77777777" w:rsidR="00F16A45" w:rsidRPr="000F1F50" w:rsidRDefault="00F16A45" w:rsidP="00481903">
            <w:pPr>
              <w:pStyle w:val="TableText"/>
              <w:spacing w:line="240" w:lineRule="auto"/>
              <w:jc w:val="right"/>
              <w:cnfStyle w:val="000000100000" w:firstRow="0" w:lastRow="0" w:firstColumn="0" w:lastColumn="0" w:oddVBand="0" w:evenVBand="0" w:oddHBand="1" w:evenHBand="0" w:firstRowFirstColumn="0" w:firstRowLastColumn="0" w:lastRowFirstColumn="0" w:lastRowLastColumn="0"/>
              <w:rPr>
                <w:sz w:val="12"/>
                <w:szCs w:val="12"/>
              </w:rPr>
            </w:pPr>
          </w:p>
        </w:tc>
        <w:tc>
          <w:tcPr>
            <w:tcW w:w="755" w:type="dxa"/>
          </w:tcPr>
          <w:p w14:paraId="4090242D" w14:textId="77777777" w:rsidR="00F16A45" w:rsidRPr="000F1F50" w:rsidRDefault="00F16A45" w:rsidP="00481903">
            <w:pPr>
              <w:pStyle w:val="TableText"/>
              <w:spacing w:line="240" w:lineRule="auto"/>
              <w:jc w:val="right"/>
              <w:cnfStyle w:val="000000100000" w:firstRow="0" w:lastRow="0" w:firstColumn="0" w:lastColumn="0" w:oddVBand="0" w:evenVBand="0" w:oddHBand="1" w:evenHBand="0" w:firstRowFirstColumn="0" w:firstRowLastColumn="0" w:lastRowFirstColumn="0" w:lastRowLastColumn="0"/>
              <w:rPr>
                <w:sz w:val="12"/>
                <w:szCs w:val="12"/>
              </w:rPr>
            </w:pPr>
          </w:p>
        </w:tc>
        <w:tc>
          <w:tcPr>
            <w:tcW w:w="425" w:type="dxa"/>
          </w:tcPr>
          <w:p w14:paraId="74C8BB3F" w14:textId="77777777" w:rsidR="00F16A45" w:rsidRPr="000F1F50" w:rsidRDefault="00F16A45" w:rsidP="00481903">
            <w:pPr>
              <w:pStyle w:val="TableText"/>
              <w:spacing w:line="240" w:lineRule="auto"/>
              <w:jc w:val="right"/>
              <w:cnfStyle w:val="000000100000" w:firstRow="0" w:lastRow="0" w:firstColumn="0" w:lastColumn="0" w:oddVBand="0" w:evenVBand="0" w:oddHBand="1" w:evenHBand="0" w:firstRowFirstColumn="0" w:firstRowLastColumn="0" w:lastRowFirstColumn="0" w:lastRowLastColumn="0"/>
              <w:rPr>
                <w:sz w:val="12"/>
                <w:szCs w:val="12"/>
              </w:rPr>
            </w:pPr>
          </w:p>
        </w:tc>
        <w:tc>
          <w:tcPr>
            <w:tcW w:w="709" w:type="dxa"/>
          </w:tcPr>
          <w:p w14:paraId="53C4451D" w14:textId="77777777" w:rsidR="00F16A45" w:rsidRPr="000F1F50" w:rsidRDefault="00F16A45" w:rsidP="00481903">
            <w:pPr>
              <w:pStyle w:val="TableText"/>
              <w:spacing w:line="240" w:lineRule="auto"/>
              <w:jc w:val="right"/>
              <w:cnfStyle w:val="000000100000" w:firstRow="0" w:lastRow="0" w:firstColumn="0" w:lastColumn="0" w:oddVBand="0" w:evenVBand="0" w:oddHBand="1" w:evenHBand="0" w:firstRowFirstColumn="0" w:firstRowLastColumn="0" w:lastRowFirstColumn="0" w:lastRowLastColumn="0"/>
              <w:rPr>
                <w:sz w:val="12"/>
                <w:szCs w:val="12"/>
              </w:rPr>
            </w:pPr>
          </w:p>
        </w:tc>
        <w:tc>
          <w:tcPr>
            <w:tcW w:w="567" w:type="dxa"/>
          </w:tcPr>
          <w:p w14:paraId="2B9C52A9" w14:textId="77777777" w:rsidR="00F16A45" w:rsidRPr="000F1F50" w:rsidRDefault="00F16A45" w:rsidP="00481903">
            <w:pPr>
              <w:pStyle w:val="TableText"/>
              <w:spacing w:line="240" w:lineRule="auto"/>
              <w:jc w:val="right"/>
              <w:cnfStyle w:val="000000100000" w:firstRow="0" w:lastRow="0" w:firstColumn="0" w:lastColumn="0" w:oddVBand="0" w:evenVBand="0" w:oddHBand="1" w:evenHBand="0" w:firstRowFirstColumn="0" w:firstRowLastColumn="0" w:lastRowFirstColumn="0" w:lastRowLastColumn="0"/>
              <w:rPr>
                <w:sz w:val="12"/>
                <w:szCs w:val="12"/>
              </w:rPr>
            </w:pPr>
          </w:p>
        </w:tc>
        <w:tc>
          <w:tcPr>
            <w:tcW w:w="709" w:type="dxa"/>
          </w:tcPr>
          <w:p w14:paraId="271BF12B" w14:textId="77777777" w:rsidR="00F16A45" w:rsidRPr="000F1F50" w:rsidRDefault="00F16A45" w:rsidP="00481903">
            <w:pPr>
              <w:pStyle w:val="TableText"/>
              <w:spacing w:line="240" w:lineRule="auto"/>
              <w:jc w:val="right"/>
              <w:cnfStyle w:val="000000100000" w:firstRow="0" w:lastRow="0" w:firstColumn="0" w:lastColumn="0" w:oddVBand="0" w:evenVBand="0" w:oddHBand="1" w:evenHBand="0" w:firstRowFirstColumn="0" w:firstRowLastColumn="0" w:lastRowFirstColumn="0" w:lastRowLastColumn="0"/>
              <w:rPr>
                <w:sz w:val="12"/>
                <w:szCs w:val="12"/>
              </w:rPr>
            </w:pPr>
          </w:p>
        </w:tc>
        <w:tc>
          <w:tcPr>
            <w:tcW w:w="548" w:type="dxa"/>
            <w:tcBorders>
              <w:right w:val="single" w:sz="4" w:space="0" w:color="auto"/>
            </w:tcBorders>
          </w:tcPr>
          <w:p w14:paraId="75FFB4F1" w14:textId="77777777" w:rsidR="00F16A45" w:rsidRPr="000F1F50" w:rsidRDefault="00F16A45" w:rsidP="00481903">
            <w:pPr>
              <w:pStyle w:val="TableText"/>
              <w:spacing w:line="240" w:lineRule="auto"/>
              <w:jc w:val="right"/>
              <w:cnfStyle w:val="000000100000" w:firstRow="0" w:lastRow="0" w:firstColumn="0" w:lastColumn="0" w:oddVBand="0" w:evenVBand="0" w:oddHBand="1" w:evenHBand="0" w:firstRowFirstColumn="0" w:firstRowLastColumn="0" w:lastRowFirstColumn="0" w:lastRowLastColumn="0"/>
              <w:rPr>
                <w:sz w:val="12"/>
                <w:szCs w:val="12"/>
              </w:rPr>
            </w:pPr>
          </w:p>
        </w:tc>
        <w:tc>
          <w:tcPr>
            <w:tcW w:w="823" w:type="dxa"/>
            <w:tcBorders>
              <w:left w:val="single" w:sz="4" w:space="0" w:color="auto"/>
            </w:tcBorders>
          </w:tcPr>
          <w:p w14:paraId="6DCD75D6" w14:textId="77777777" w:rsidR="00F16A45" w:rsidRPr="000F1F50" w:rsidRDefault="00F16A45" w:rsidP="00481903">
            <w:pPr>
              <w:pStyle w:val="TableText"/>
              <w:spacing w:line="240" w:lineRule="auto"/>
              <w:jc w:val="right"/>
              <w:cnfStyle w:val="000000100000" w:firstRow="0" w:lastRow="0" w:firstColumn="0" w:lastColumn="0" w:oddVBand="0" w:evenVBand="0" w:oddHBand="1" w:evenHBand="0" w:firstRowFirstColumn="0" w:firstRowLastColumn="0" w:lastRowFirstColumn="0" w:lastRowLastColumn="0"/>
              <w:rPr>
                <w:sz w:val="12"/>
                <w:szCs w:val="12"/>
              </w:rPr>
            </w:pPr>
          </w:p>
        </w:tc>
        <w:tc>
          <w:tcPr>
            <w:tcW w:w="851" w:type="dxa"/>
          </w:tcPr>
          <w:p w14:paraId="7E2E8F58" w14:textId="77777777" w:rsidR="00F16A45" w:rsidRPr="000F1F50" w:rsidRDefault="00F16A45" w:rsidP="00481903">
            <w:pPr>
              <w:pStyle w:val="TableText"/>
              <w:spacing w:line="240" w:lineRule="auto"/>
              <w:jc w:val="right"/>
              <w:cnfStyle w:val="000000100000" w:firstRow="0" w:lastRow="0" w:firstColumn="0" w:lastColumn="0" w:oddVBand="0" w:evenVBand="0" w:oddHBand="1" w:evenHBand="0" w:firstRowFirstColumn="0" w:firstRowLastColumn="0" w:lastRowFirstColumn="0" w:lastRowLastColumn="0"/>
              <w:rPr>
                <w:sz w:val="12"/>
                <w:szCs w:val="12"/>
              </w:rPr>
            </w:pPr>
          </w:p>
        </w:tc>
        <w:tc>
          <w:tcPr>
            <w:tcW w:w="1276" w:type="dxa"/>
          </w:tcPr>
          <w:p w14:paraId="5B3E25DE" w14:textId="77777777" w:rsidR="00F16A45" w:rsidRPr="000F1F50" w:rsidRDefault="00F16A45" w:rsidP="00481903">
            <w:pPr>
              <w:pStyle w:val="TableText"/>
              <w:spacing w:line="240" w:lineRule="auto"/>
              <w:jc w:val="right"/>
              <w:cnfStyle w:val="000000100000" w:firstRow="0" w:lastRow="0" w:firstColumn="0" w:lastColumn="0" w:oddVBand="0" w:evenVBand="0" w:oddHBand="1" w:evenHBand="0" w:firstRowFirstColumn="0" w:firstRowLastColumn="0" w:lastRowFirstColumn="0" w:lastRowLastColumn="0"/>
              <w:rPr>
                <w:sz w:val="12"/>
                <w:szCs w:val="12"/>
              </w:rPr>
            </w:pPr>
          </w:p>
        </w:tc>
        <w:tc>
          <w:tcPr>
            <w:tcW w:w="1038" w:type="dxa"/>
          </w:tcPr>
          <w:p w14:paraId="7A3F9C12" w14:textId="77777777" w:rsidR="00F16A45" w:rsidRPr="000F1F50" w:rsidRDefault="00F16A45" w:rsidP="00481903">
            <w:pPr>
              <w:pStyle w:val="TableText"/>
              <w:spacing w:line="240" w:lineRule="auto"/>
              <w:jc w:val="right"/>
              <w:cnfStyle w:val="000000100000" w:firstRow="0" w:lastRow="0" w:firstColumn="0" w:lastColumn="0" w:oddVBand="0" w:evenVBand="0" w:oddHBand="1" w:evenHBand="0" w:firstRowFirstColumn="0" w:firstRowLastColumn="0" w:lastRowFirstColumn="0" w:lastRowLastColumn="0"/>
              <w:rPr>
                <w:sz w:val="12"/>
                <w:szCs w:val="12"/>
              </w:rPr>
            </w:pPr>
          </w:p>
        </w:tc>
      </w:tr>
      <w:tr w:rsidR="0088420A" w:rsidRPr="000F1F50" w14:paraId="7A366D67" w14:textId="77777777" w:rsidTr="0088420A">
        <w:tc>
          <w:tcPr>
            <w:cnfStyle w:val="001000000000" w:firstRow="0" w:lastRow="0" w:firstColumn="1" w:lastColumn="0" w:oddVBand="0" w:evenVBand="0" w:oddHBand="0" w:evenHBand="0" w:firstRowFirstColumn="0" w:firstRowLastColumn="0" w:lastRowFirstColumn="0" w:lastRowLastColumn="0"/>
            <w:tcW w:w="237" w:type="dxa"/>
          </w:tcPr>
          <w:p w14:paraId="7E42B4E2" w14:textId="77777777" w:rsidR="00F16A45" w:rsidRPr="000F1F50" w:rsidRDefault="00F16A45" w:rsidP="00F16A45">
            <w:pPr>
              <w:pStyle w:val="TableText"/>
              <w:spacing w:line="240" w:lineRule="auto"/>
              <w:rPr>
                <w:sz w:val="12"/>
                <w:szCs w:val="12"/>
              </w:rPr>
            </w:pPr>
          </w:p>
        </w:tc>
        <w:tc>
          <w:tcPr>
            <w:tcW w:w="756" w:type="dxa"/>
            <w:tcBorders>
              <w:right w:val="single" w:sz="4" w:space="0" w:color="auto"/>
            </w:tcBorders>
          </w:tcPr>
          <w:p w14:paraId="60224A18" w14:textId="5ABCE971" w:rsidR="00F16A45" w:rsidRPr="000F1F50" w:rsidRDefault="00F16A45" w:rsidP="00F16A45">
            <w:pPr>
              <w:pStyle w:val="TableText"/>
              <w:spacing w:line="240" w:lineRule="auto"/>
              <w:cnfStyle w:val="000000000000" w:firstRow="0" w:lastRow="0" w:firstColumn="0" w:lastColumn="0" w:oddVBand="0" w:evenVBand="0" w:oddHBand="0" w:evenHBand="0" w:firstRowFirstColumn="0" w:firstRowLastColumn="0" w:lastRowFirstColumn="0" w:lastRowLastColumn="0"/>
              <w:rPr>
                <w:sz w:val="12"/>
                <w:szCs w:val="12"/>
              </w:rPr>
            </w:pPr>
            <w:r w:rsidRPr="000F1F50">
              <w:rPr>
                <w:sz w:val="12"/>
                <w:szCs w:val="12"/>
              </w:rPr>
              <w:t>19/2/</w:t>
            </w:r>
            <w:r w:rsidR="00DE4991" w:rsidRPr="000F1F50">
              <w:rPr>
                <w:sz w:val="12"/>
                <w:szCs w:val="12"/>
              </w:rPr>
              <w:t>20</w:t>
            </w:r>
            <w:r w:rsidR="00DE4991">
              <w:rPr>
                <w:sz w:val="12"/>
                <w:szCs w:val="12"/>
              </w:rPr>
              <w:t>22</w:t>
            </w:r>
          </w:p>
        </w:tc>
        <w:tc>
          <w:tcPr>
            <w:tcW w:w="755" w:type="dxa"/>
            <w:tcBorders>
              <w:left w:val="single" w:sz="4" w:space="0" w:color="auto"/>
            </w:tcBorders>
          </w:tcPr>
          <w:p w14:paraId="1E816EA3" w14:textId="77777777" w:rsidR="00F16A45" w:rsidRPr="000F1F50" w:rsidRDefault="00F16A45" w:rsidP="00481903">
            <w:pPr>
              <w:pStyle w:val="TableText"/>
              <w:spacing w:line="240" w:lineRule="auto"/>
              <w:jc w:val="right"/>
              <w:cnfStyle w:val="000000000000" w:firstRow="0" w:lastRow="0" w:firstColumn="0" w:lastColumn="0" w:oddVBand="0" w:evenVBand="0" w:oddHBand="0" w:evenHBand="0" w:firstRowFirstColumn="0" w:firstRowLastColumn="0" w:lastRowFirstColumn="0" w:lastRowLastColumn="0"/>
              <w:rPr>
                <w:sz w:val="12"/>
                <w:szCs w:val="12"/>
              </w:rPr>
            </w:pPr>
          </w:p>
        </w:tc>
        <w:tc>
          <w:tcPr>
            <w:tcW w:w="425" w:type="dxa"/>
          </w:tcPr>
          <w:p w14:paraId="667E169D" w14:textId="77777777" w:rsidR="00F16A45" w:rsidRPr="000F1F50" w:rsidRDefault="00F16A45" w:rsidP="00481903">
            <w:pPr>
              <w:pStyle w:val="TableText"/>
              <w:spacing w:line="240" w:lineRule="auto"/>
              <w:jc w:val="right"/>
              <w:cnfStyle w:val="000000000000" w:firstRow="0" w:lastRow="0" w:firstColumn="0" w:lastColumn="0" w:oddVBand="0" w:evenVBand="0" w:oddHBand="0" w:evenHBand="0" w:firstRowFirstColumn="0" w:firstRowLastColumn="0" w:lastRowFirstColumn="0" w:lastRowLastColumn="0"/>
              <w:rPr>
                <w:sz w:val="12"/>
                <w:szCs w:val="12"/>
              </w:rPr>
            </w:pPr>
          </w:p>
        </w:tc>
        <w:tc>
          <w:tcPr>
            <w:tcW w:w="709" w:type="dxa"/>
          </w:tcPr>
          <w:p w14:paraId="0E36761B" w14:textId="77777777" w:rsidR="00F16A45" w:rsidRPr="000F1F50" w:rsidRDefault="00F16A45" w:rsidP="00481903">
            <w:pPr>
              <w:pStyle w:val="TableText"/>
              <w:spacing w:line="240" w:lineRule="auto"/>
              <w:jc w:val="right"/>
              <w:cnfStyle w:val="000000000000" w:firstRow="0" w:lastRow="0" w:firstColumn="0" w:lastColumn="0" w:oddVBand="0" w:evenVBand="0" w:oddHBand="0" w:evenHBand="0" w:firstRowFirstColumn="0" w:firstRowLastColumn="0" w:lastRowFirstColumn="0" w:lastRowLastColumn="0"/>
              <w:rPr>
                <w:sz w:val="12"/>
                <w:szCs w:val="12"/>
              </w:rPr>
            </w:pPr>
          </w:p>
        </w:tc>
        <w:tc>
          <w:tcPr>
            <w:tcW w:w="425" w:type="dxa"/>
          </w:tcPr>
          <w:p w14:paraId="5A5DA0F4" w14:textId="77777777" w:rsidR="00F16A45" w:rsidRPr="000F1F50" w:rsidRDefault="00F16A45" w:rsidP="00481903">
            <w:pPr>
              <w:pStyle w:val="TableText"/>
              <w:spacing w:line="240" w:lineRule="auto"/>
              <w:jc w:val="right"/>
              <w:cnfStyle w:val="000000000000" w:firstRow="0" w:lastRow="0" w:firstColumn="0" w:lastColumn="0" w:oddVBand="0" w:evenVBand="0" w:oddHBand="0" w:evenHBand="0" w:firstRowFirstColumn="0" w:firstRowLastColumn="0" w:lastRowFirstColumn="0" w:lastRowLastColumn="0"/>
              <w:rPr>
                <w:sz w:val="12"/>
                <w:szCs w:val="12"/>
              </w:rPr>
            </w:pPr>
          </w:p>
        </w:tc>
        <w:tc>
          <w:tcPr>
            <w:tcW w:w="709" w:type="dxa"/>
          </w:tcPr>
          <w:p w14:paraId="54F4A4DA" w14:textId="77777777" w:rsidR="00F16A45" w:rsidRPr="000F1F50" w:rsidRDefault="00F16A45" w:rsidP="00481903">
            <w:pPr>
              <w:pStyle w:val="TableText"/>
              <w:spacing w:line="240" w:lineRule="auto"/>
              <w:jc w:val="right"/>
              <w:cnfStyle w:val="000000000000" w:firstRow="0" w:lastRow="0" w:firstColumn="0" w:lastColumn="0" w:oddVBand="0" w:evenVBand="0" w:oddHBand="0" w:evenHBand="0" w:firstRowFirstColumn="0" w:firstRowLastColumn="0" w:lastRowFirstColumn="0" w:lastRowLastColumn="0"/>
              <w:rPr>
                <w:sz w:val="12"/>
                <w:szCs w:val="12"/>
              </w:rPr>
            </w:pPr>
          </w:p>
        </w:tc>
        <w:tc>
          <w:tcPr>
            <w:tcW w:w="567" w:type="dxa"/>
          </w:tcPr>
          <w:p w14:paraId="486534D5" w14:textId="77777777" w:rsidR="00F16A45" w:rsidRPr="000F1F50" w:rsidRDefault="00F16A45" w:rsidP="00481903">
            <w:pPr>
              <w:pStyle w:val="TableText"/>
              <w:spacing w:line="240" w:lineRule="auto"/>
              <w:jc w:val="right"/>
              <w:cnfStyle w:val="000000000000" w:firstRow="0" w:lastRow="0" w:firstColumn="0" w:lastColumn="0" w:oddVBand="0" w:evenVBand="0" w:oddHBand="0" w:evenHBand="0" w:firstRowFirstColumn="0" w:firstRowLastColumn="0" w:lastRowFirstColumn="0" w:lastRowLastColumn="0"/>
              <w:rPr>
                <w:sz w:val="12"/>
                <w:szCs w:val="12"/>
              </w:rPr>
            </w:pPr>
          </w:p>
        </w:tc>
        <w:tc>
          <w:tcPr>
            <w:tcW w:w="709" w:type="dxa"/>
          </w:tcPr>
          <w:p w14:paraId="6DA8AFF6" w14:textId="77777777" w:rsidR="00F16A45" w:rsidRPr="000F1F50" w:rsidRDefault="00F16A45" w:rsidP="00481903">
            <w:pPr>
              <w:pStyle w:val="TableText"/>
              <w:spacing w:line="240" w:lineRule="auto"/>
              <w:jc w:val="right"/>
              <w:cnfStyle w:val="000000000000" w:firstRow="0" w:lastRow="0" w:firstColumn="0" w:lastColumn="0" w:oddVBand="0" w:evenVBand="0" w:oddHBand="0" w:evenHBand="0" w:firstRowFirstColumn="0" w:firstRowLastColumn="0" w:lastRowFirstColumn="0" w:lastRowLastColumn="0"/>
              <w:rPr>
                <w:sz w:val="12"/>
                <w:szCs w:val="12"/>
              </w:rPr>
            </w:pPr>
          </w:p>
        </w:tc>
        <w:tc>
          <w:tcPr>
            <w:tcW w:w="567" w:type="dxa"/>
            <w:tcBorders>
              <w:right w:val="single" w:sz="4" w:space="0" w:color="auto"/>
            </w:tcBorders>
          </w:tcPr>
          <w:p w14:paraId="7B734F5F" w14:textId="77777777" w:rsidR="00F16A45" w:rsidRPr="000F1F50" w:rsidRDefault="00F16A45" w:rsidP="00481903">
            <w:pPr>
              <w:pStyle w:val="TableText"/>
              <w:spacing w:line="240" w:lineRule="auto"/>
              <w:jc w:val="right"/>
              <w:cnfStyle w:val="000000000000" w:firstRow="0" w:lastRow="0" w:firstColumn="0" w:lastColumn="0" w:oddVBand="0" w:evenVBand="0" w:oddHBand="0" w:evenHBand="0" w:firstRowFirstColumn="0" w:firstRowLastColumn="0" w:lastRowFirstColumn="0" w:lastRowLastColumn="0"/>
              <w:rPr>
                <w:sz w:val="12"/>
                <w:szCs w:val="12"/>
              </w:rPr>
            </w:pPr>
          </w:p>
        </w:tc>
        <w:tc>
          <w:tcPr>
            <w:tcW w:w="662" w:type="dxa"/>
            <w:tcBorders>
              <w:left w:val="single" w:sz="4" w:space="0" w:color="auto"/>
            </w:tcBorders>
          </w:tcPr>
          <w:p w14:paraId="11B8FC01" w14:textId="77777777" w:rsidR="00F16A45" w:rsidRPr="000F1F50" w:rsidRDefault="00F16A45" w:rsidP="00481903">
            <w:pPr>
              <w:pStyle w:val="TableText"/>
              <w:spacing w:line="240" w:lineRule="auto"/>
              <w:jc w:val="right"/>
              <w:cnfStyle w:val="000000000000" w:firstRow="0" w:lastRow="0" w:firstColumn="0" w:lastColumn="0" w:oddVBand="0" w:evenVBand="0" w:oddHBand="0" w:evenHBand="0" w:firstRowFirstColumn="0" w:firstRowLastColumn="0" w:lastRowFirstColumn="0" w:lastRowLastColumn="0"/>
              <w:rPr>
                <w:sz w:val="12"/>
                <w:szCs w:val="12"/>
              </w:rPr>
            </w:pPr>
          </w:p>
        </w:tc>
        <w:tc>
          <w:tcPr>
            <w:tcW w:w="425" w:type="dxa"/>
          </w:tcPr>
          <w:p w14:paraId="00A87C06" w14:textId="77777777" w:rsidR="00F16A45" w:rsidRPr="000F1F50" w:rsidRDefault="00F16A45" w:rsidP="00481903">
            <w:pPr>
              <w:pStyle w:val="TableText"/>
              <w:spacing w:line="240" w:lineRule="auto"/>
              <w:jc w:val="right"/>
              <w:cnfStyle w:val="000000000000" w:firstRow="0" w:lastRow="0" w:firstColumn="0" w:lastColumn="0" w:oddVBand="0" w:evenVBand="0" w:oddHBand="0" w:evenHBand="0" w:firstRowFirstColumn="0" w:firstRowLastColumn="0" w:lastRowFirstColumn="0" w:lastRowLastColumn="0"/>
              <w:rPr>
                <w:sz w:val="12"/>
                <w:szCs w:val="12"/>
              </w:rPr>
            </w:pPr>
          </w:p>
        </w:tc>
        <w:tc>
          <w:tcPr>
            <w:tcW w:w="755" w:type="dxa"/>
          </w:tcPr>
          <w:p w14:paraId="5AAA947F" w14:textId="77777777" w:rsidR="00F16A45" w:rsidRPr="000F1F50" w:rsidRDefault="00F16A45" w:rsidP="00481903">
            <w:pPr>
              <w:pStyle w:val="TableText"/>
              <w:spacing w:line="240" w:lineRule="auto"/>
              <w:jc w:val="right"/>
              <w:cnfStyle w:val="000000000000" w:firstRow="0" w:lastRow="0" w:firstColumn="0" w:lastColumn="0" w:oddVBand="0" w:evenVBand="0" w:oddHBand="0" w:evenHBand="0" w:firstRowFirstColumn="0" w:firstRowLastColumn="0" w:lastRowFirstColumn="0" w:lastRowLastColumn="0"/>
              <w:rPr>
                <w:sz w:val="12"/>
                <w:szCs w:val="12"/>
              </w:rPr>
            </w:pPr>
          </w:p>
        </w:tc>
        <w:tc>
          <w:tcPr>
            <w:tcW w:w="425" w:type="dxa"/>
          </w:tcPr>
          <w:p w14:paraId="5D0FAD52" w14:textId="77777777" w:rsidR="00F16A45" w:rsidRPr="000F1F50" w:rsidRDefault="00F16A45" w:rsidP="00481903">
            <w:pPr>
              <w:pStyle w:val="TableText"/>
              <w:spacing w:line="240" w:lineRule="auto"/>
              <w:jc w:val="right"/>
              <w:cnfStyle w:val="000000000000" w:firstRow="0" w:lastRow="0" w:firstColumn="0" w:lastColumn="0" w:oddVBand="0" w:evenVBand="0" w:oddHBand="0" w:evenHBand="0" w:firstRowFirstColumn="0" w:firstRowLastColumn="0" w:lastRowFirstColumn="0" w:lastRowLastColumn="0"/>
              <w:rPr>
                <w:sz w:val="12"/>
                <w:szCs w:val="12"/>
              </w:rPr>
            </w:pPr>
          </w:p>
        </w:tc>
        <w:tc>
          <w:tcPr>
            <w:tcW w:w="709" w:type="dxa"/>
          </w:tcPr>
          <w:p w14:paraId="3D78F848" w14:textId="77777777" w:rsidR="00F16A45" w:rsidRPr="000F1F50" w:rsidRDefault="00F16A45" w:rsidP="00481903">
            <w:pPr>
              <w:pStyle w:val="TableText"/>
              <w:spacing w:line="240" w:lineRule="auto"/>
              <w:jc w:val="right"/>
              <w:cnfStyle w:val="000000000000" w:firstRow="0" w:lastRow="0" w:firstColumn="0" w:lastColumn="0" w:oddVBand="0" w:evenVBand="0" w:oddHBand="0" w:evenHBand="0" w:firstRowFirstColumn="0" w:firstRowLastColumn="0" w:lastRowFirstColumn="0" w:lastRowLastColumn="0"/>
              <w:rPr>
                <w:sz w:val="12"/>
                <w:szCs w:val="12"/>
              </w:rPr>
            </w:pPr>
          </w:p>
        </w:tc>
        <w:tc>
          <w:tcPr>
            <w:tcW w:w="567" w:type="dxa"/>
          </w:tcPr>
          <w:p w14:paraId="64D9C5A9" w14:textId="77777777" w:rsidR="00F16A45" w:rsidRPr="000F1F50" w:rsidRDefault="00F16A45" w:rsidP="00481903">
            <w:pPr>
              <w:pStyle w:val="TableText"/>
              <w:spacing w:line="240" w:lineRule="auto"/>
              <w:jc w:val="right"/>
              <w:cnfStyle w:val="000000000000" w:firstRow="0" w:lastRow="0" w:firstColumn="0" w:lastColumn="0" w:oddVBand="0" w:evenVBand="0" w:oddHBand="0" w:evenHBand="0" w:firstRowFirstColumn="0" w:firstRowLastColumn="0" w:lastRowFirstColumn="0" w:lastRowLastColumn="0"/>
              <w:rPr>
                <w:sz w:val="12"/>
                <w:szCs w:val="12"/>
              </w:rPr>
            </w:pPr>
          </w:p>
        </w:tc>
        <w:tc>
          <w:tcPr>
            <w:tcW w:w="709" w:type="dxa"/>
          </w:tcPr>
          <w:p w14:paraId="1180C6A1" w14:textId="77777777" w:rsidR="00F16A45" w:rsidRPr="000F1F50" w:rsidRDefault="00F16A45" w:rsidP="00481903">
            <w:pPr>
              <w:pStyle w:val="TableText"/>
              <w:spacing w:line="240" w:lineRule="auto"/>
              <w:jc w:val="right"/>
              <w:cnfStyle w:val="000000000000" w:firstRow="0" w:lastRow="0" w:firstColumn="0" w:lastColumn="0" w:oddVBand="0" w:evenVBand="0" w:oddHBand="0" w:evenHBand="0" w:firstRowFirstColumn="0" w:firstRowLastColumn="0" w:lastRowFirstColumn="0" w:lastRowLastColumn="0"/>
              <w:rPr>
                <w:sz w:val="12"/>
                <w:szCs w:val="12"/>
              </w:rPr>
            </w:pPr>
          </w:p>
        </w:tc>
        <w:tc>
          <w:tcPr>
            <w:tcW w:w="548" w:type="dxa"/>
            <w:tcBorders>
              <w:right w:val="single" w:sz="4" w:space="0" w:color="auto"/>
            </w:tcBorders>
          </w:tcPr>
          <w:p w14:paraId="1450C6FD" w14:textId="77777777" w:rsidR="00F16A45" w:rsidRPr="000F1F50" w:rsidRDefault="00F16A45" w:rsidP="00481903">
            <w:pPr>
              <w:pStyle w:val="TableText"/>
              <w:spacing w:line="240" w:lineRule="auto"/>
              <w:jc w:val="right"/>
              <w:cnfStyle w:val="000000000000" w:firstRow="0" w:lastRow="0" w:firstColumn="0" w:lastColumn="0" w:oddVBand="0" w:evenVBand="0" w:oddHBand="0" w:evenHBand="0" w:firstRowFirstColumn="0" w:firstRowLastColumn="0" w:lastRowFirstColumn="0" w:lastRowLastColumn="0"/>
              <w:rPr>
                <w:sz w:val="12"/>
                <w:szCs w:val="12"/>
              </w:rPr>
            </w:pPr>
          </w:p>
        </w:tc>
        <w:tc>
          <w:tcPr>
            <w:tcW w:w="823" w:type="dxa"/>
            <w:tcBorders>
              <w:left w:val="single" w:sz="4" w:space="0" w:color="auto"/>
            </w:tcBorders>
          </w:tcPr>
          <w:p w14:paraId="79EE89BC" w14:textId="77777777" w:rsidR="00F16A45" w:rsidRPr="000F1F50" w:rsidRDefault="00F16A45" w:rsidP="00481903">
            <w:pPr>
              <w:pStyle w:val="TableText"/>
              <w:spacing w:line="240" w:lineRule="auto"/>
              <w:jc w:val="right"/>
              <w:cnfStyle w:val="000000000000" w:firstRow="0" w:lastRow="0" w:firstColumn="0" w:lastColumn="0" w:oddVBand="0" w:evenVBand="0" w:oddHBand="0" w:evenHBand="0" w:firstRowFirstColumn="0" w:firstRowLastColumn="0" w:lastRowFirstColumn="0" w:lastRowLastColumn="0"/>
              <w:rPr>
                <w:sz w:val="12"/>
                <w:szCs w:val="12"/>
              </w:rPr>
            </w:pPr>
          </w:p>
        </w:tc>
        <w:tc>
          <w:tcPr>
            <w:tcW w:w="851" w:type="dxa"/>
          </w:tcPr>
          <w:p w14:paraId="4F26E97B" w14:textId="77777777" w:rsidR="00F16A45" w:rsidRPr="000F1F50" w:rsidRDefault="00F16A45" w:rsidP="00481903">
            <w:pPr>
              <w:pStyle w:val="TableText"/>
              <w:spacing w:line="240" w:lineRule="auto"/>
              <w:jc w:val="right"/>
              <w:cnfStyle w:val="000000000000" w:firstRow="0" w:lastRow="0" w:firstColumn="0" w:lastColumn="0" w:oddVBand="0" w:evenVBand="0" w:oddHBand="0" w:evenHBand="0" w:firstRowFirstColumn="0" w:firstRowLastColumn="0" w:lastRowFirstColumn="0" w:lastRowLastColumn="0"/>
              <w:rPr>
                <w:sz w:val="12"/>
                <w:szCs w:val="12"/>
              </w:rPr>
            </w:pPr>
          </w:p>
        </w:tc>
        <w:tc>
          <w:tcPr>
            <w:tcW w:w="1276" w:type="dxa"/>
          </w:tcPr>
          <w:p w14:paraId="22D7FB03" w14:textId="77777777" w:rsidR="00F16A45" w:rsidRPr="000F1F50" w:rsidRDefault="00F16A45" w:rsidP="00481903">
            <w:pPr>
              <w:pStyle w:val="TableText"/>
              <w:spacing w:line="240" w:lineRule="auto"/>
              <w:jc w:val="right"/>
              <w:cnfStyle w:val="000000000000" w:firstRow="0" w:lastRow="0" w:firstColumn="0" w:lastColumn="0" w:oddVBand="0" w:evenVBand="0" w:oddHBand="0" w:evenHBand="0" w:firstRowFirstColumn="0" w:firstRowLastColumn="0" w:lastRowFirstColumn="0" w:lastRowLastColumn="0"/>
              <w:rPr>
                <w:sz w:val="12"/>
                <w:szCs w:val="12"/>
              </w:rPr>
            </w:pPr>
          </w:p>
        </w:tc>
        <w:tc>
          <w:tcPr>
            <w:tcW w:w="1038" w:type="dxa"/>
          </w:tcPr>
          <w:p w14:paraId="52C56812" w14:textId="77777777" w:rsidR="00F16A45" w:rsidRPr="000F1F50" w:rsidRDefault="00F16A45" w:rsidP="00481903">
            <w:pPr>
              <w:pStyle w:val="TableText"/>
              <w:spacing w:line="240" w:lineRule="auto"/>
              <w:jc w:val="right"/>
              <w:cnfStyle w:val="000000000000" w:firstRow="0" w:lastRow="0" w:firstColumn="0" w:lastColumn="0" w:oddVBand="0" w:evenVBand="0" w:oddHBand="0" w:evenHBand="0" w:firstRowFirstColumn="0" w:firstRowLastColumn="0" w:lastRowFirstColumn="0" w:lastRowLastColumn="0"/>
              <w:rPr>
                <w:sz w:val="12"/>
                <w:szCs w:val="12"/>
              </w:rPr>
            </w:pPr>
          </w:p>
        </w:tc>
      </w:tr>
      <w:tr w:rsidR="0088420A" w:rsidRPr="000F1F50" w14:paraId="4F79D6A2" w14:textId="77777777" w:rsidTr="008842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 w:type="dxa"/>
          </w:tcPr>
          <w:p w14:paraId="17383751" w14:textId="77777777" w:rsidR="00F16A45" w:rsidRPr="000F1F50" w:rsidRDefault="00F16A45" w:rsidP="00F16A45">
            <w:pPr>
              <w:pStyle w:val="TableText"/>
              <w:spacing w:line="240" w:lineRule="auto"/>
              <w:rPr>
                <w:sz w:val="12"/>
                <w:szCs w:val="12"/>
              </w:rPr>
            </w:pPr>
          </w:p>
        </w:tc>
        <w:tc>
          <w:tcPr>
            <w:tcW w:w="756" w:type="dxa"/>
            <w:tcBorders>
              <w:right w:val="single" w:sz="4" w:space="0" w:color="auto"/>
            </w:tcBorders>
          </w:tcPr>
          <w:p w14:paraId="62AEED2C" w14:textId="1C548199" w:rsidR="00F16A45" w:rsidRPr="000F1F50" w:rsidRDefault="00F16A45" w:rsidP="00F16A45">
            <w:pPr>
              <w:pStyle w:val="TableText"/>
              <w:spacing w:line="240" w:lineRule="auto"/>
              <w:cnfStyle w:val="000000100000" w:firstRow="0" w:lastRow="0" w:firstColumn="0" w:lastColumn="0" w:oddVBand="0" w:evenVBand="0" w:oddHBand="1" w:evenHBand="0" w:firstRowFirstColumn="0" w:firstRowLastColumn="0" w:lastRowFirstColumn="0" w:lastRowLastColumn="0"/>
              <w:rPr>
                <w:sz w:val="12"/>
                <w:szCs w:val="12"/>
              </w:rPr>
            </w:pPr>
            <w:r w:rsidRPr="000F1F50">
              <w:rPr>
                <w:sz w:val="12"/>
                <w:szCs w:val="12"/>
              </w:rPr>
              <w:t>20/2/</w:t>
            </w:r>
            <w:r w:rsidR="00DE4991" w:rsidRPr="000F1F50">
              <w:rPr>
                <w:sz w:val="12"/>
                <w:szCs w:val="12"/>
              </w:rPr>
              <w:t>20</w:t>
            </w:r>
            <w:r w:rsidR="00DE4991">
              <w:rPr>
                <w:sz w:val="12"/>
                <w:szCs w:val="12"/>
              </w:rPr>
              <w:t>22</w:t>
            </w:r>
          </w:p>
        </w:tc>
        <w:tc>
          <w:tcPr>
            <w:tcW w:w="755" w:type="dxa"/>
            <w:tcBorders>
              <w:left w:val="single" w:sz="4" w:space="0" w:color="auto"/>
            </w:tcBorders>
          </w:tcPr>
          <w:p w14:paraId="6BCDAD83" w14:textId="77777777" w:rsidR="00F16A45" w:rsidRPr="000F1F50" w:rsidRDefault="00F16A45" w:rsidP="00481903">
            <w:pPr>
              <w:pStyle w:val="TableText"/>
              <w:spacing w:line="240" w:lineRule="auto"/>
              <w:jc w:val="right"/>
              <w:cnfStyle w:val="000000100000" w:firstRow="0" w:lastRow="0" w:firstColumn="0" w:lastColumn="0" w:oddVBand="0" w:evenVBand="0" w:oddHBand="1" w:evenHBand="0" w:firstRowFirstColumn="0" w:firstRowLastColumn="0" w:lastRowFirstColumn="0" w:lastRowLastColumn="0"/>
              <w:rPr>
                <w:sz w:val="12"/>
                <w:szCs w:val="12"/>
              </w:rPr>
            </w:pPr>
          </w:p>
        </w:tc>
        <w:tc>
          <w:tcPr>
            <w:tcW w:w="425" w:type="dxa"/>
          </w:tcPr>
          <w:p w14:paraId="4C867672" w14:textId="77777777" w:rsidR="00F16A45" w:rsidRPr="000F1F50" w:rsidRDefault="00F16A45" w:rsidP="00481903">
            <w:pPr>
              <w:pStyle w:val="TableText"/>
              <w:spacing w:line="240" w:lineRule="auto"/>
              <w:jc w:val="right"/>
              <w:cnfStyle w:val="000000100000" w:firstRow="0" w:lastRow="0" w:firstColumn="0" w:lastColumn="0" w:oddVBand="0" w:evenVBand="0" w:oddHBand="1" w:evenHBand="0" w:firstRowFirstColumn="0" w:firstRowLastColumn="0" w:lastRowFirstColumn="0" w:lastRowLastColumn="0"/>
              <w:rPr>
                <w:sz w:val="12"/>
                <w:szCs w:val="12"/>
              </w:rPr>
            </w:pPr>
          </w:p>
        </w:tc>
        <w:tc>
          <w:tcPr>
            <w:tcW w:w="709" w:type="dxa"/>
          </w:tcPr>
          <w:p w14:paraId="5D7AD6FE" w14:textId="77777777" w:rsidR="00F16A45" w:rsidRPr="000F1F50" w:rsidRDefault="00F16A45" w:rsidP="00481903">
            <w:pPr>
              <w:pStyle w:val="TableText"/>
              <w:spacing w:line="240" w:lineRule="auto"/>
              <w:jc w:val="right"/>
              <w:cnfStyle w:val="000000100000" w:firstRow="0" w:lastRow="0" w:firstColumn="0" w:lastColumn="0" w:oddVBand="0" w:evenVBand="0" w:oddHBand="1" w:evenHBand="0" w:firstRowFirstColumn="0" w:firstRowLastColumn="0" w:lastRowFirstColumn="0" w:lastRowLastColumn="0"/>
              <w:rPr>
                <w:sz w:val="12"/>
                <w:szCs w:val="12"/>
              </w:rPr>
            </w:pPr>
          </w:p>
        </w:tc>
        <w:tc>
          <w:tcPr>
            <w:tcW w:w="425" w:type="dxa"/>
          </w:tcPr>
          <w:p w14:paraId="4C96B779" w14:textId="77777777" w:rsidR="00F16A45" w:rsidRPr="000F1F50" w:rsidRDefault="00F16A45" w:rsidP="00481903">
            <w:pPr>
              <w:pStyle w:val="TableText"/>
              <w:spacing w:line="240" w:lineRule="auto"/>
              <w:jc w:val="right"/>
              <w:cnfStyle w:val="000000100000" w:firstRow="0" w:lastRow="0" w:firstColumn="0" w:lastColumn="0" w:oddVBand="0" w:evenVBand="0" w:oddHBand="1" w:evenHBand="0" w:firstRowFirstColumn="0" w:firstRowLastColumn="0" w:lastRowFirstColumn="0" w:lastRowLastColumn="0"/>
              <w:rPr>
                <w:sz w:val="12"/>
                <w:szCs w:val="12"/>
              </w:rPr>
            </w:pPr>
          </w:p>
        </w:tc>
        <w:tc>
          <w:tcPr>
            <w:tcW w:w="709" w:type="dxa"/>
          </w:tcPr>
          <w:p w14:paraId="4D0977B2" w14:textId="77777777" w:rsidR="00F16A45" w:rsidRPr="000F1F50" w:rsidRDefault="00F16A45" w:rsidP="00481903">
            <w:pPr>
              <w:pStyle w:val="TableText"/>
              <w:spacing w:line="240" w:lineRule="auto"/>
              <w:jc w:val="right"/>
              <w:cnfStyle w:val="000000100000" w:firstRow="0" w:lastRow="0" w:firstColumn="0" w:lastColumn="0" w:oddVBand="0" w:evenVBand="0" w:oddHBand="1" w:evenHBand="0" w:firstRowFirstColumn="0" w:firstRowLastColumn="0" w:lastRowFirstColumn="0" w:lastRowLastColumn="0"/>
              <w:rPr>
                <w:sz w:val="12"/>
                <w:szCs w:val="12"/>
              </w:rPr>
            </w:pPr>
          </w:p>
        </w:tc>
        <w:tc>
          <w:tcPr>
            <w:tcW w:w="567" w:type="dxa"/>
          </w:tcPr>
          <w:p w14:paraId="7F41C03A" w14:textId="77777777" w:rsidR="00F16A45" w:rsidRPr="000F1F50" w:rsidRDefault="00F16A45" w:rsidP="00481903">
            <w:pPr>
              <w:pStyle w:val="TableText"/>
              <w:spacing w:line="240" w:lineRule="auto"/>
              <w:jc w:val="right"/>
              <w:cnfStyle w:val="000000100000" w:firstRow="0" w:lastRow="0" w:firstColumn="0" w:lastColumn="0" w:oddVBand="0" w:evenVBand="0" w:oddHBand="1" w:evenHBand="0" w:firstRowFirstColumn="0" w:firstRowLastColumn="0" w:lastRowFirstColumn="0" w:lastRowLastColumn="0"/>
              <w:rPr>
                <w:sz w:val="12"/>
                <w:szCs w:val="12"/>
              </w:rPr>
            </w:pPr>
          </w:p>
        </w:tc>
        <w:tc>
          <w:tcPr>
            <w:tcW w:w="709" w:type="dxa"/>
          </w:tcPr>
          <w:p w14:paraId="187865BD" w14:textId="77777777" w:rsidR="00F16A45" w:rsidRPr="000F1F50" w:rsidRDefault="00F16A45" w:rsidP="00481903">
            <w:pPr>
              <w:pStyle w:val="TableText"/>
              <w:spacing w:line="240" w:lineRule="auto"/>
              <w:jc w:val="right"/>
              <w:cnfStyle w:val="000000100000" w:firstRow="0" w:lastRow="0" w:firstColumn="0" w:lastColumn="0" w:oddVBand="0" w:evenVBand="0" w:oddHBand="1" w:evenHBand="0" w:firstRowFirstColumn="0" w:firstRowLastColumn="0" w:lastRowFirstColumn="0" w:lastRowLastColumn="0"/>
              <w:rPr>
                <w:sz w:val="12"/>
                <w:szCs w:val="12"/>
              </w:rPr>
            </w:pPr>
          </w:p>
        </w:tc>
        <w:tc>
          <w:tcPr>
            <w:tcW w:w="567" w:type="dxa"/>
            <w:tcBorders>
              <w:right w:val="single" w:sz="4" w:space="0" w:color="auto"/>
            </w:tcBorders>
          </w:tcPr>
          <w:p w14:paraId="5DE3B017" w14:textId="77777777" w:rsidR="00F16A45" w:rsidRPr="000F1F50" w:rsidRDefault="00F16A45" w:rsidP="00481903">
            <w:pPr>
              <w:pStyle w:val="TableText"/>
              <w:spacing w:line="240" w:lineRule="auto"/>
              <w:jc w:val="right"/>
              <w:cnfStyle w:val="000000100000" w:firstRow="0" w:lastRow="0" w:firstColumn="0" w:lastColumn="0" w:oddVBand="0" w:evenVBand="0" w:oddHBand="1" w:evenHBand="0" w:firstRowFirstColumn="0" w:firstRowLastColumn="0" w:lastRowFirstColumn="0" w:lastRowLastColumn="0"/>
              <w:rPr>
                <w:sz w:val="12"/>
                <w:szCs w:val="12"/>
              </w:rPr>
            </w:pPr>
          </w:p>
        </w:tc>
        <w:tc>
          <w:tcPr>
            <w:tcW w:w="662" w:type="dxa"/>
            <w:tcBorders>
              <w:left w:val="single" w:sz="4" w:space="0" w:color="auto"/>
            </w:tcBorders>
          </w:tcPr>
          <w:p w14:paraId="02E7578C" w14:textId="77777777" w:rsidR="00F16A45" w:rsidRPr="000F1F50" w:rsidRDefault="00F16A45" w:rsidP="00481903">
            <w:pPr>
              <w:pStyle w:val="TableText"/>
              <w:spacing w:line="240" w:lineRule="auto"/>
              <w:jc w:val="right"/>
              <w:cnfStyle w:val="000000100000" w:firstRow="0" w:lastRow="0" w:firstColumn="0" w:lastColumn="0" w:oddVBand="0" w:evenVBand="0" w:oddHBand="1" w:evenHBand="0" w:firstRowFirstColumn="0" w:firstRowLastColumn="0" w:lastRowFirstColumn="0" w:lastRowLastColumn="0"/>
              <w:rPr>
                <w:sz w:val="12"/>
                <w:szCs w:val="12"/>
              </w:rPr>
            </w:pPr>
          </w:p>
        </w:tc>
        <w:tc>
          <w:tcPr>
            <w:tcW w:w="425" w:type="dxa"/>
          </w:tcPr>
          <w:p w14:paraId="00164CA3" w14:textId="77777777" w:rsidR="00F16A45" w:rsidRPr="000F1F50" w:rsidRDefault="00F16A45" w:rsidP="00481903">
            <w:pPr>
              <w:pStyle w:val="TableText"/>
              <w:spacing w:line="240" w:lineRule="auto"/>
              <w:jc w:val="right"/>
              <w:cnfStyle w:val="000000100000" w:firstRow="0" w:lastRow="0" w:firstColumn="0" w:lastColumn="0" w:oddVBand="0" w:evenVBand="0" w:oddHBand="1" w:evenHBand="0" w:firstRowFirstColumn="0" w:firstRowLastColumn="0" w:lastRowFirstColumn="0" w:lastRowLastColumn="0"/>
              <w:rPr>
                <w:sz w:val="12"/>
                <w:szCs w:val="12"/>
              </w:rPr>
            </w:pPr>
          </w:p>
        </w:tc>
        <w:tc>
          <w:tcPr>
            <w:tcW w:w="755" w:type="dxa"/>
          </w:tcPr>
          <w:p w14:paraId="7286B439" w14:textId="77777777" w:rsidR="00F16A45" w:rsidRPr="000F1F50" w:rsidRDefault="00F16A45" w:rsidP="00481903">
            <w:pPr>
              <w:pStyle w:val="TableText"/>
              <w:spacing w:line="240" w:lineRule="auto"/>
              <w:jc w:val="right"/>
              <w:cnfStyle w:val="000000100000" w:firstRow="0" w:lastRow="0" w:firstColumn="0" w:lastColumn="0" w:oddVBand="0" w:evenVBand="0" w:oddHBand="1" w:evenHBand="0" w:firstRowFirstColumn="0" w:firstRowLastColumn="0" w:lastRowFirstColumn="0" w:lastRowLastColumn="0"/>
              <w:rPr>
                <w:sz w:val="12"/>
                <w:szCs w:val="12"/>
              </w:rPr>
            </w:pPr>
          </w:p>
        </w:tc>
        <w:tc>
          <w:tcPr>
            <w:tcW w:w="425" w:type="dxa"/>
          </w:tcPr>
          <w:p w14:paraId="34BCE996" w14:textId="77777777" w:rsidR="00F16A45" w:rsidRPr="000F1F50" w:rsidRDefault="00F16A45" w:rsidP="00481903">
            <w:pPr>
              <w:pStyle w:val="TableText"/>
              <w:spacing w:line="240" w:lineRule="auto"/>
              <w:jc w:val="right"/>
              <w:cnfStyle w:val="000000100000" w:firstRow="0" w:lastRow="0" w:firstColumn="0" w:lastColumn="0" w:oddVBand="0" w:evenVBand="0" w:oddHBand="1" w:evenHBand="0" w:firstRowFirstColumn="0" w:firstRowLastColumn="0" w:lastRowFirstColumn="0" w:lastRowLastColumn="0"/>
              <w:rPr>
                <w:sz w:val="12"/>
                <w:szCs w:val="12"/>
              </w:rPr>
            </w:pPr>
          </w:p>
        </w:tc>
        <w:tc>
          <w:tcPr>
            <w:tcW w:w="709" w:type="dxa"/>
          </w:tcPr>
          <w:p w14:paraId="4E59E433" w14:textId="77777777" w:rsidR="00F16A45" w:rsidRPr="000F1F50" w:rsidRDefault="00F16A45" w:rsidP="00481903">
            <w:pPr>
              <w:pStyle w:val="TableText"/>
              <w:spacing w:line="240" w:lineRule="auto"/>
              <w:jc w:val="right"/>
              <w:cnfStyle w:val="000000100000" w:firstRow="0" w:lastRow="0" w:firstColumn="0" w:lastColumn="0" w:oddVBand="0" w:evenVBand="0" w:oddHBand="1" w:evenHBand="0" w:firstRowFirstColumn="0" w:firstRowLastColumn="0" w:lastRowFirstColumn="0" w:lastRowLastColumn="0"/>
              <w:rPr>
                <w:sz w:val="12"/>
                <w:szCs w:val="12"/>
              </w:rPr>
            </w:pPr>
          </w:p>
        </w:tc>
        <w:tc>
          <w:tcPr>
            <w:tcW w:w="567" w:type="dxa"/>
          </w:tcPr>
          <w:p w14:paraId="69946805" w14:textId="77777777" w:rsidR="00F16A45" w:rsidRPr="000F1F50" w:rsidRDefault="00F16A45" w:rsidP="00481903">
            <w:pPr>
              <w:pStyle w:val="TableText"/>
              <w:spacing w:line="240" w:lineRule="auto"/>
              <w:jc w:val="right"/>
              <w:cnfStyle w:val="000000100000" w:firstRow="0" w:lastRow="0" w:firstColumn="0" w:lastColumn="0" w:oddVBand="0" w:evenVBand="0" w:oddHBand="1" w:evenHBand="0" w:firstRowFirstColumn="0" w:firstRowLastColumn="0" w:lastRowFirstColumn="0" w:lastRowLastColumn="0"/>
              <w:rPr>
                <w:sz w:val="12"/>
                <w:szCs w:val="12"/>
              </w:rPr>
            </w:pPr>
          </w:p>
        </w:tc>
        <w:tc>
          <w:tcPr>
            <w:tcW w:w="709" w:type="dxa"/>
          </w:tcPr>
          <w:p w14:paraId="7D676C71" w14:textId="77777777" w:rsidR="00F16A45" w:rsidRPr="000F1F50" w:rsidRDefault="00F16A45" w:rsidP="00481903">
            <w:pPr>
              <w:pStyle w:val="TableText"/>
              <w:spacing w:line="240" w:lineRule="auto"/>
              <w:jc w:val="right"/>
              <w:cnfStyle w:val="000000100000" w:firstRow="0" w:lastRow="0" w:firstColumn="0" w:lastColumn="0" w:oddVBand="0" w:evenVBand="0" w:oddHBand="1" w:evenHBand="0" w:firstRowFirstColumn="0" w:firstRowLastColumn="0" w:lastRowFirstColumn="0" w:lastRowLastColumn="0"/>
              <w:rPr>
                <w:sz w:val="12"/>
                <w:szCs w:val="12"/>
              </w:rPr>
            </w:pPr>
          </w:p>
        </w:tc>
        <w:tc>
          <w:tcPr>
            <w:tcW w:w="548" w:type="dxa"/>
            <w:tcBorders>
              <w:right w:val="single" w:sz="4" w:space="0" w:color="auto"/>
            </w:tcBorders>
          </w:tcPr>
          <w:p w14:paraId="03B82916" w14:textId="77777777" w:rsidR="00F16A45" w:rsidRPr="000F1F50" w:rsidRDefault="00F16A45" w:rsidP="00481903">
            <w:pPr>
              <w:pStyle w:val="TableText"/>
              <w:spacing w:line="240" w:lineRule="auto"/>
              <w:jc w:val="right"/>
              <w:cnfStyle w:val="000000100000" w:firstRow="0" w:lastRow="0" w:firstColumn="0" w:lastColumn="0" w:oddVBand="0" w:evenVBand="0" w:oddHBand="1" w:evenHBand="0" w:firstRowFirstColumn="0" w:firstRowLastColumn="0" w:lastRowFirstColumn="0" w:lastRowLastColumn="0"/>
              <w:rPr>
                <w:sz w:val="12"/>
                <w:szCs w:val="12"/>
              </w:rPr>
            </w:pPr>
          </w:p>
        </w:tc>
        <w:tc>
          <w:tcPr>
            <w:tcW w:w="823" w:type="dxa"/>
            <w:tcBorders>
              <w:left w:val="single" w:sz="4" w:space="0" w:color="auto"/>
            </w:tcBorders>
          </w:tcPr>
          <w:p w14:paraId="4B0CD22F" w14:textId="77777777" w:rsidR="00F16A45" w:rsidRPr="000F1F50" w:rsidRDefault="00F16A45" w:rsidP="00481903">
            <w:pPr>
              <w:pStyle w:val="TableText"/>
              <w:spacing w:line="240" w:lineRule="auto"/>
              <w:jc w:val="right"/>
              <w:cnfStyle w:val="000000100000" w:firstRow="0" w:lastRow="0" w:firstColumn="0" w:lastColumn="0" w:oddVBand="0" w:evenVBand="0" w:oddHBand="1" w:evenHBand="0" w:firstRowFirstColumn="0" w:firstRowLastColumn="0" w:lastRowFirstColumn="0" w:lastRowLastColumn="0"/>
              <w:rPr>
                <w:sz w:val="12"/>
                <w:szCs w:val="12"/>
              </w:rPr>
            </w:pPr>
          </w:p>
        </w:tc>
        <w:tc>
          <w:tcPr>
            <w:tcW w:w="851" w:type="dxa"/>
          </w:tcPr>
          <w:p w14:paraId="45E840D2" w14:textId="77777777" w:rsidR="00F16A45" w:rsidRPr="000F1F50" w:rsidRDefault="00F16A45" w:rsidP="00481903">
            <w:pPr>
              <w:pStyle w:val="TableText"/>
              <w:spacing w:line="240" w:lineRule="auto"/>
              <w:jc w:val="right"/>
              <w:cnfStyle w:val="000000100000" w:firstRow="0" w:lastRow="0" w:firstColumn="0" w:lastColumn="0" w:oddVBand="0" w:evenVBand="0" w:oddHBand="1" w:evenHBand="0" w:firstRowFirstColumn="0" w:firstRowLastColumn="0" w:lastRowFirstColumn="0" w:lastRowLastColumn="0"/>
              <w:rPr>
                <w:sz w:val="12"/>
                <w:szCs w:val="12"/>
              </w:rPr>
            </w:pPr>
          </w:p>
        </w:tc>
        <w:tc>
          <w:tcPr>
            <w:tcW w:w="1276" w:type="dxa"/>
          </w:tcPr>
          <w:p w14:paraId="7A0B99C4" w14:textId="77777777" w:rsidR="00F16A45" w:rsidRPr="000F1F50" w:rsidRDefault="00F16A45" w:rsidP="00481903">
            <w:pPr>
              <w:pStyle w:val="TableText"/>
              <w:spacing w:line="240" w:lineRule="auto"/>
              <w:jc w:val="right"/>
              <w:cnfStyle w:val="000000100000" w:firstRow="0" w:lastRow="0" w:firstColumn="0" w:lastColumn="0" w:oddVBand="0" w:evenVBand="0" w:oddHBand="1" w:evenHBand="0" w:firstRowFirstColumn="0" w:firstRowLastColumn="0" w:lastRowFirstColumn="0" w:lastRowLastColumn="0"/>
              <w:rPr>
                <w:sz w:val="12"/>
                <w:szCs w:val="12"/>
              </w:rPr>
            </w:pPr>
          </w:p>
        </w:tc>
        <w:tc>
          <w:tcPr>
            <w:tcW w:w="1038" w:type="dxa"/>
          </w:tcPr>
          <w:p w14:paraId="2A170078" w14:textId="77777777" w:rsidR="00F16A45" w:rsidRPr="000F1F50" w:rsidRDefault="00F16A45" w:rsidP="00481903">
            <w:pPr>
              <w:pStyle w:val="TableText"/>
              <w:spacing w:line="240" w:lineRule="auto"/>
              <w:jc w:val="right"/>
              <w:cnfStyle w:val="000000100000" w:firstRow="0" w:lastRow="0" w:firstColumn="0" w:lastColumn="0" w:oddVBand="0" w:evenVBand="0" w:oddHBand="1" w:evenHBand="0" w:firstRowFirstColumn="0" w:firstRowLastColumn="0" w:lastRowFirstColumn="0" w:lastRowLastColumn="0"/>
              <w:rPr>
                <w:sz w:val="12"/>
                <w:szCs w:val="12"/>
              </w:rPr>
            </w:pPr>
          </w:p>
        </w:tc>
      </w:tr>
      <w:tr w:rsidR="0088420A" w:rsidRPr="000F1F50" w14:paraId="4B3949CA" w14:textId="77777777" w:rsidTr="0088420A">
        <w:tc>
          <w:tcPr>
            <w:cnfStyle w:val="001000000000" w:firstRow="0" w:lastRow="0" w:firstColumn="1" w:lastColumn="0" w:oddVBand="0" w:evenVBand="0" w:oddHBand="0" w:evenHBand="0" w:firstRowFirstColumn="0" w:firstRowLastColumn="0" w:lastRowFirstColumn="0" w:lastRowLastColumn="0"/>
            <w:tcW w:w="237" w:type="dxa"/>
          </w:tcPr>
          <w:p w14:paraId="36837A02" w14:textId="77777777" w:rsidR="00F16A45" w:rsidRPr="000F1F50" w:rsidRDefault="00F16A45" w:rsidP="00F16A45">
            <w:pPr>
              <w:pStyle w:val="TableText"/>
              <w:spacing w:line="240" w:lineRule="auto"/>
              <w:rPr>
                <w:sz w:val="12"/>
                <w:szCs w:val="12"/>
              </w:rPr>
            </w:pPr>
          </w:p>
        </w:tc>
        <w:tc>
          <w:tcPr>
            <w:tcW w:w="756" w:type="dxa"/>
            <w:tcBorders>
              <w:right w:val="single" w:sz="4" w:space="0" w:color="auto"/>
            </w:tcBorders>
          </w:tcPr>
          <w:p w14:paraId="6CEC7EEF" w14:textId="70FC937C" w:rsidR="00F16A45" w:rsidRPr="000F1F50" w:rsidRDefault="00F16A45" w:rsidP="00F16A45">
            <w:pPr>
              <w:pStyle w:val="TableText"/>
              <w:spacing w:line="240" w:lineRule="auto"/>
              <w:cnfStyle w:val="000000000000" w:firstRow="0" w:lastRow="0" w:firstColumn="0" w:lastColumn="0" w:oddVBand="0" w:evenVBand="0" w:oddHBand="0" w:evenHBand="0" w:firstRowFirstColumn="0" w:firstRowLastColumn="0" w:lastRowFirstColumn="0" w:lastRowLastColumn="0"/>
              <w:rPr>
                <w:sz w:val="12"/>
                <w:szCs w:val="12"/>
              </w:rPr>
            </w:pPr>
            <w:r w:rsidRPr="000F1F50">
              <w:rPr>
                <w:sz w:val="12"/>
                <w:szCs w:val="12"/>
              </w:rPr>
              <w:t>21/2/</w:t>
            </w:r>
            <w:r w:rsidR="00DE4991" w:rsidRPr="000F1F50">
              <w:rPr>
                <w:sz w:val="12"/>
                <w:szCs w:val="12"/>
              </w:rPr>
              <w:t>20</w:t>
            </w:r>
            <w:r w:rsidR="00DE4991">
              <w:rPr>
                <w:sz w:val="12"/>
                <w:szCs w:val="12"/>
              </w:rPr>
              <w:t>22</w:t>
            </w:r>
          </w:p>
        </w:tc>
        <w:tc>
          <w:tcPr>
            <w:tcW w:w="755" w:type="dxa"/>
            <w:tcBorders>
              <w:left w:val="single" w:sz="4" w:space="0" w:color="auto"/>
            </w:tcBorders>
          </w:tcPr>
          <w:p w14:paraId="47CE795B" w14:textId="77777777" w:rsidR="00F16A45" w:rsidRPr="000F1F50" w:rsidRDefault="00F16A45" w:rsidP="00481903">
            <w:pPr>
              <w:pStyle w:val="TableText"/>
              <w:spacing w:line="240" w:lineRule="auto"/>
              <w:jc w:val="right"/>
              <w:cnfStyle w:val="000000000000" w:firstRow="0" w:lastRow="0" w:firstColumn="0" w:lastColumn="0" w:oddVBand="0" w:evenVBand="0" w:oddHBand="0" w:evenHBand="0" w:firstRowFirstColumn="0" w:firstRowLastColumn="0" w:lastRowFirstColumn="0" w:lastRowLastColumn="0"/>
              <w:rPr>
                <w:sz w:val="12"/>
                <w:szCs w:val="12"/>
              </w:rPr>
            </w:pPr>
          </w:p>
        </w:tc>
        <w:tc>
          <w:tcPr>
            <w:tcW w:w="425" w:type="dxa"/>
          </w:tcPr>
          <w:p w14:paraId="57126C80" w14:textId="77777777" w:rsidR="00F16A45" w:rsidRPr="000F1F50" w:rsidRDefault="00F16A45" w:rsidP="00481903">
            <w:pPr>
              <w:pStyle w:val="TableText"/>
              <w:spacing w:line="240" w:lineRule="auto"/>
              <w:jc w:val="right"/>
              <w:cnfStyle w:val="000000000000" w:firstRow="0" w:lastRow="0" w:firstColumn="0" w:lastColumn="0" w:oddVBand="0" w:evenVBand="0" w:oddHBand="0" w:evenHBand="0" w:firstRowFirstColumn="0" w:firstRowLastColumn="0" w:lastRowFirstColumn="0" w:lastRowLastColumn="0"/>
              <w:rPr>
                <w:sz w:val="12"/>
                <w:szCs w:val="12"/>
              </w:rPr>
            </w:pPr>
          </w:p>
        </w:tc>
        <w:tc>
          <w:tcPr>
            <w:tcW w:w="709" w:type="dxa"/>
          </w:tcPr>
          <w:p w14:paraId="78D95F89" w14:textId="77777777" w:rsidR="00F16A45" w:rsidRPr="000F1F50" w:rsidRDefault="00F16A45" w:rsidP="00481903">
            <w:pPr>
              <w:pStyle w:val="TableText"/>
              <w:spacing w:line="240" w:lineRule="auto"/>
              <w:jc w:val="right"/>
              <w:cnfStyle w:val="000000000000" w:firstRow="0" w:lastRow="0" w:firstColumn="0" w:lastColumn="0" w:oddVBand="0" w:evenVBand="0" w:oddHBand="0" w:evenHBand="0" w:firstRowFirstColumn="0" w:firstRowLastColumn="0" w:lastRowFirstColumn="0" w:lastRowLastColumn="0"/>
              <w:rPr>
                <w:sz w:val="12"/>
                <w:szCs w:val="12"/>
              </w:rPr>
            </w:pPr>
          </w:p>
        </w:tc>
        <w:tc>
          <w:tcPr>
            <w:tcW w:w="425" w:type="dxa"/>
          </w:tcPr>
          <w:p w14:paraId="46330055" w14:textId="77777777" w:rsidR="00F16A45" w:rsidRPr="000F1F50" w:rsidRDefault="00F16A45" w:rsidP="00481903">
            <w:pPr>
              <w:pStyle w:val="TableText"/>
              <w:spacing w:line="240" w:lineRule="auto"/>
              <w:jc w:val="right"/>
              <w:cnfStyle w:val="000000000000" w:firstRow="0" w:lastRow="0" w:firstColumn="0" w:lastColumn="0" w:oddVBand="0" w:evenVBand="0" w:oddHBand="0" w:evenHBand="0" w:firstRowFirstColumn="0" w:firstRowLastColumn="0" w:lastRowFirstColumn="0" w:lastRowLastColumn="0"/>
              <w:rPr>
                <w:sz w:val="12"/>
                <w:szCs w:val="12"/>
              </w:rPr>
            </w:pPr>
          </w:p>
        </w:tc>
        <w:tc>
          <w:tcPr>
            <w:tcW w:w="709" w:type="dxa"/>
          </w:tcPr>
          <w:p w14:paraId="2DA09692" w14:textId="77777777" w:rsidR="00F16A45" w:rsidRPr="000F1F50" w:rsidRDefault="00F16A45" w:rsidP="00481903">
            <w:pPr>
              <w:pStyle w:val="TableText"/>
              <w:spacing w:line="240" w:lineRule="auto"/>
              <w:jc w:val="right"/>
              <w:cnfStyle w:val="000000000000" w:firstRow="0" w:lastRow="0" w:firstColumn="0" w:lastColumn="0" w:oddVBand="0" w:evenVBand="0" w:oddHBand="0" w:evenHBand="0" w:firstRowFirstColumn="0" w:firstRowLastColumn="0" w:lastRowFirstColumn="0" w:lastRowLastColumn="0"/>
              <w:rPr>
                <w:sz w:val="12"/>
                <w:szCs w:val="12"/>
              </w:rPr>
            </w:pPr>
          </w:p>
        </w:tc>
        <w:tc>
          <w:tcPr>
            <w:tcW w:w="567" w:type="dxa"/>
          </w:tcPr>
          <w:p w14:paraId="04BD22C7" w14:textId="77777777" w:rsidR="00F16A45" w:rsidRPr="000F1F50" w:rsidRDefault="00F16A45" w:rsidP="00481903">
            <w:pPr>
              <w:pStyle w:val="TableText"/>
              <w:spacing w:line="240" w:lineRule="auto"/>
              <w:jc w:val="right"/>
              <w:cnfStyle w:val="000000000000" w:firstRow="0" w:lastRow="0" w:firstColumn="0" w:lastColumn="0" w:oddVBand="0" w:evenVBand="0" w:oddHBand="0" w:evenHBand="0" w:firstRowFirstColumn="0" w:firstRowLastColumn="0" w:lastRowFirstColumn="0" w:lastRowLastColumn="0"/>
              <w:rPr>
                <w:sz w:val="12"/>
                <w:szCs w:val="12"/>
              </w:rPr>
            </w:pPr>
          </w:p>
        </w:tc>
        <w:tc>
          <w:tcPr>
            <w:tcW w:w="709" w:type="dxa"/>
          </w:tcPr>
          <w:p w14:paraId="66EBE78F" w14:textId="77777777" w:rsidR="00F16A45" w:rsidRPr="000F1F50" w:rsidRDefault="00F16A45" w:rsidP="00481903">
            <w:pPr>
              <w:pStyle w:val="TableText"/>
              <w:spacing w:line="240" w:lineRule="auto"/>
              <w:jc w:val="right"/>
              <w:cnfStyle w:val="000000000000" w:firstRow="0" w:lastRow="0" w:firstColumn="0" w:lastColumn="0" w:oddVBand="0" w:evenVBand="0" w:oddHBand="0" w:evenHBand="0" w:firstRowFirstColumn="0" w:firstRowLastColumn="0" w:lastRowFirstColumn="0" w:lastRowLastColumn="0"/>
              <w:rPr>
                <w:sz w:val="12"/>
                <w:szCs w:val="12"/>
              </w:rPr>
            </w:pPr>
          </w:p>
        </w:tc>
        <w:tc>
          <w:tcPr>
            <w:tcW w:w="567" w:type="dxa"/>
            <w:tcBorders>
              <w:right w:val="single" w:sz="4" w:space="0" w:color="auto"/>
            </w:tcBorders>
          </w:tcPr>
          <w:p w14:paraId="031F4CCB" w14:textId="77777777" w:rsidR="00F16A45" w:rsidRPr="000F1F50" w:rsidRDefault="00F16A45" w:rsidP="00481903">
            <w:pPr>
              <w:pStyle w:val="TableText"/>
              <w:spacing w:line="240" w:lineRule="auto"/>
              <w:jc w:val="right"/>
              <w:cnfStyle w:val="000000000000" w:firstRow="0" w:lastRow="0" w:firstColumn="0" w:lastColumn="0" w:oddVBand="0" w:evenVBand="0" w:oddHBand="0" w:evenHBand="0" w:firstRowFirstColumn="0" w:firstRowLastColumn="0" w:lastRowFirstColumn="0" w:lastRowLastColumn="0"/>
              <w:rPr>
                <w:sz w:val="12"/>
                <w:szCs w:val="12"/>
              </w:rPr>
            </w:pPr>
          </w:p>
        </w:tc>
        <w:tc>
          <w:tcPr>
            <w:tcW w:w="662" w:type="dxa"/>
            <w:tcBorders>
              <w:left w:val="single" w:sz="4" w:space="0" w:color="auto"/>
            </w:tcBorders>
          </w:tcPr>
          <w:p w14:paraId="62D1B42D" w14:textId="77777777" w:rsidR="00F16A45" w:rsidRPr="000F1F50" w:rsidRDefault="00F16A45" w:rsidP="00481903">
            <w:pPr>
              <w:pStyle w:val="TableText"/>
              <w:spacing w:line="240" w:lineRule="auto"/>
              <w:jc w:val="right"/>
              <w:cnfStyle w:val="000000000000" w:firstRow="0" w:lastRow="0" w:firstColumn="0" w:lastColumn="0" w:oddVBand="0" w:evenVBand="0" w:oddHBand="0" w:evenHBand="0" w:firstRowFirstColumn="0" w:firstRowLastColumn="0" w:lastRowFirstColumn="0" w:lastRowLastColumn="0"/>
              <w:rPr>
                <w:sz w:val="12"/>
                <w:szCs w:val="12"/>
              </w:rPr>
            </w:pPr>
          </w:p>
        </w:tc>
        <w:tc>
          <w:tcPr>
            <w:tcW w:w="425" w:type="dxa"/>
          </w:tcPr>
          <w:p w14:paraId="21FA178A" w14:textId="77777777" w:rsidR="00F16A45" w:rsidRPr="000F1F50" w:rsidRDefault="00F16A45" w:rsidP="00481903">
            <w:pPr>
              <w:pStyle w:val="TableText"/>
              <w:spacing w:line="240" w:lineRule="auto"/>
              <w:jc w:val="right"/>
              <w:cnfStyle w:val="000000000000" w:firstRow="0" w:lastRow="0" w:firstColumn="0" w:lastColumn="0" w:oddVBand="0" w:evenVBand="0" w:oddHBand="0" w:evenHBand="0" w:firstRowFirstColumn="0" w:firstRowLastColumn="0" w:lastRowFirstColumn="0" w:lastRowLastColumn="0"/>
              <w:rPr>
                <w:sz w:val="12"/>
                <w:szCs w:val="12"/>
              </w:rPr>
            </w:pPr>
          </w:p>
        </w:tc>
        <w:tc>
          <w:tcPr>
            <w:tcW w:w="755" w:type="dxa"/>
          </w:tcPr>
          <w:p w14:paraId="1265D6E9" w14:textId="77777777" w:rsidR="00F16A45" w:rsidRPr="000F1F50" w:rsidRDefault="00F16A45" w:rsidP="00481903">
            <w:pPr>
              <w:pStyle w:val="TableText"/>
              <w:spacing w:line="240" w:lineRule="auto"/>
              <w:jc w:val="right"/>
              <w:cnfStyle w:val="000000000000" w:firstRow="0" w:lastRow="0" w:firstColumn="0" w:lastColumn="0" w:oddVBand="0" w:evenVBand="0" w:oddHBand="0" w:evenHBand="0" w:firstRowFirstColumn="0" w:firstRowLastColumn="0" w:lastRowFirstColumn="0" w:lastRowLastColumn="0"/>
              <w:rPr>
                <w:sz w:val="12"/>
                <w:szCs w:val="12"/>
              </w:rPr>
            </w:pPr>
          </w:p>
        </w:tc>
        <w:tc>
          <w:tcPr>
            <w:tcW w:w="425" w:type="dxa"/>
          </w:tcPr>
          <w:p w14:paraId="67F270F3" w14:textId="77777777" w:rsidR="00F16A45" w:rsidRPr="000F1F50" w:rsidRDefault="00F16A45" w:rsidP="00481903">
            <w:pPr>
              <w:pStyle w:val="TableText"/>
              <w:spacing w:line="240" w:lineRule="auto"/>
              <w:jc w:val="right"/>
              <w:cnfStyle w:val="000000000000" w:firstRow="0" w:lastRow="0" w:firstColumn="0" w:lastColumn="0" w:oddVBand="0" w:evenVBand="0" w:oddHBand="0" w:evenHBand="0" w:firstRowFirstColumn="0" w:firstRowLastColumn="0" w:lastRowFirstColumn="0" w:lastRowLastColumn="0"/>
              <w:rPr>
                <w:sz w:val="12"/>
                <w:szCs w:val="12"/>
              </w:rPr>
            </w:pPr>
          </w:p>
        </w:tc>
        <w:tc>
          <w:tcPr>
            <w:tcW w:w="709" w:type="dxa"/>
          </w:tcPr>
          <w:p w14:paraId="5AE3FEFB" w14:textId="77777777" w:rsidR="00F16A45" w:rsidRPr="000F1F50" w:rsidRDefault="00F16A45" w:rsidP="00481903">
            <w:pPr>
              <w:pStyle w:val="TableText"/>
              <w:spacing w:line="240" w:lineRule="auto"/>
              <w:jc w:val="right"/>
              <w:cnfStyle w:val="000000000000" w:firstRow="0" w:lastRow="0" w:firstColumn="0" w:lastColumn="0" w:oddVBand="0" w:evenVBand="0" w:oddHBand="0" w:evenHBand="0" w:firstRowFirstColumn="0" w:firstRowLastColumn="0" w:lastRowFirstColumn="0" w:lastRowLastColumn="0"/>
              <w:rPr>
                <w:sz w:val="12"/>
                <w:szCs w:val="12"/>
              </w:rPr>
            </w:pPr>
          </w:p>
        </w:tc>
        <w:tc>
          <w:tcPr>
            <w:tcW w:w="567" w:type="dxa"/>
          </w:tcPr>
          <w:p w14:paraId="77B9C1D1" w14:textId="77777777" w:rsidR="00F16A45" w:rsidRPr="000F1F50" w:rsidRDefault="00F16A45" w:rsidP="00481903">
            <w:pPr>
              <w:pStyle w:val="TableText"/>
              <w:spacing w:line="240" w:lineRule="auto"/>
              <w:jc w:val="right"/>
              <w:cnfStyle w:val="000000000000" w:firstRow="0" w:lastRow="0" w:firstColumn="0" w:lastColumn="0" w:oddVBand="0" w:evenVBand="0" w:oddHBand="0" w:evenHBand="0" w:firstRowFirstColumn="0" w:firstRowLastColumn="0" w:lastRowFirstColumn="0" w:lastRowLastColumn="0"/>
              <w:rPr>
                <w:sz w:val="12"/>
                <w:szCs w:val="12"/>
              </w:rPr>
            </w:pPr>
          </w:p>
        </w:tc>
        <w:tc>
          <w:tcPr>
            <w:tcW w:w="709" w:type="dxa"/>
          </w:tcPr>
          <w:p w14:paraId="2C4D5894" w14:textId="77777777" w:rsidR="00F16A45" w:rsidRPr="000F1F50" w:rsidRDefault="00F16A45" w:rsidP="00481903">
            <w:pPr>
              <w:pStyle w:val="TableText"/>
              <w:spacing w:line="240" w:lineRule="auto"/>
              <w:jc w:val="right"/>
              <w:cnfStyle w:val="000000000000" w:firstRow="0" w:lastRow="0" w:firstColumn="0" w:lastColumn="0" w:oddVBand="0" w:evenVBand="0" w:oddHBand="0" w:evenHBand="0" w:firstRowFirstColumn="0" w:firstRowLastColumn="0" w:lastRowFirstColumn="0" w:lastRowLastColumn="0"/>
              <w:rPr>
                <w:sz w:val="12"/>
                <w:szCs w:val="12"/>
              </w:rPr>
            </w:pPr>
          </w:p>
        </w:tc>
        <w:tc>
          <w:tcPr>
            <w:tcW w:w="548" w:type="dxa"/>
            <w:tcBorders>
              <w:right w:val="single" w:sz="4" w:space="0" w:color="auto"/>
            </w:tcBorders>
          </w:tcPr>
          <w:p w14:paraId="2E4BDDBD" w14:textId="77777777" w:rsidR="00F16A45" w:rsidRPr="000F1F50" w:rsidRDefault="00F16A45" w:rsidP="00481903">
            <w:pPr>
              <w:pStyle w:val="TableText"/>
              <w:spacing w:line="240" w:lineRule="auto"/>
              <w:jc w:val="right"/>
              <w:cnfStyle w:val="000000000000" w:firstRow="0" w:lastRow="0" w:firstColumn="0" w:lastColumn="0" w:oddVBand="0" w:evenVBand="0" w:oddHBand="0" w:evenHBand="0" w:firstRowFirstColumn="0" w:firstRowLastColumn="0" w:lastRowFirstColumn="0" w:lastRowLastColumn="0"/>
              <w:rPr>
                <w:sz w:val="12"/>
                <w:szCs w:val="12"/>
              </w:rPr>
            </w:pPr>
          </w:p>
        </w:tc>
        <w:tc>
          <w:tcPr>
            <w:tcW w:w="823" w:type="dxa"/>
            <w:tcBorders>
              <w:left w:val="single" w:sz="4" w:space="0" w:color="auto"/>
            </w:tcBorders>
          </w:tcPr>
          <w:p w14:paraId="2F866970" w14:textId="77777777" w:rsidR="00F16A45" w:rsidRPr="000F1F50" w:rsidRDefault="00F16A45" w:rsidP="00481903">
            <w:pPr>
              <w:pStyle w:val="TableText"/>
              <w:spacing w:line="240" w:lineRule="auto"/>
              <w:jc w:val="right"/>
              <w:cnfStyle w:val="000000000000" w:firstRow="0" w:lastRow="0" w:firstColumn="0" w:lastColumn="0" w:oddVBand="0" w:evenVBand="0" w:oddHBand="0" w:evenHBand="0" w:firstRowFirstColumn="0" w:firstRowLastColumn="0" w:lastRowFirstColumn="0" w:lastRowLastColumn="0"/>
              <w:rPr>
                <w:sz w:val="12"/>
                <w:szCs w:val="12"/>
              </w:rPr>
            </w:pPr>
          </w:p>
        </w:tc>
        <w:tc>
          <w:tcPr>
            <w:tcW w:w="851" w:type="dxa"/>
          </w:tcPr>
          <w:p w14:paraId="5287B5FE" w14:textId="77777777" w:rsidR="00F16A45" w:rsidRPr="000F1F50" w:rsidRDefault="00F16A45" w:rsidP="00481903">
            <w:pPr>
              <w:pStyle w:val="TableText"/>
              <w:spacing w:line="240" w:lineRule="auto"/>
              <w:jc w:val="right"/>
              <w:cnfStyle w:val="000000000000" w:firstRow="0" w:lastRow="0" w:firstColumn="0" w:lastColumn="0" w:oddVBand="0" w:evenVBand="0" w:oddHBand="0" w:evenHBand="0" w:firstRowFirstColumn="0" w:firstRowLastColumn="0" w:lastRowFirstColumn="0" w:lastRowLastColumn="0"/>
              <w:rPr>
                <w:sz w:val="12"/>
                <w:szCs w:val="12"/>
              </w:rPr>
            </w:pPr>
          </w:p>
        </w:tc>
        <w:tc>
          <w:tcPr>
            <w:tcW w:w="1276" w:type="dxa"/>
          </w:tcPr>
          <w:p w14:paraId="3B5DB5FA" w14:textId="77777777" w:rsidR="00F16A45" w:rsidRPr="000F1F50" w:rsidRDefault="00F16A45" w:rsidP="00481903">
            <w:pPr>
              <w:pStyle w:val="TableText"/>
              <w:spacing w:line="240" w:lineRule="auto"/>
              <w:jc w:val="right"/>
              <w:cnfStyle w:val="000000000000" w:firstRow="0" w:lastRow="0" w:firstColumn="0" w:lastColumn="0" w:oddVBand="0" w:evenVBand="0" w:oddHBand="0" w:evenHBand="0" w:firstRowFirstColumn="0" w:firstRowLastColumn="0" w:lastRowFirstColumn="0" w:lastRowLastColumn="0"/>
              <w:rPr>
                <w:sz w:val="12"/>
                <w:szCs w:val="12"/>
              </w:rPr>
            </w:pPr>
          </w:p>
        </w:tc>
        <w:tc>
          <w:tcPr>
            <w:tcW w:w="1038" w:type="dxa"/>
          </w:tcPr>
          <w:p w14:paraId="151B1675" w14:textId="77777777" w:rsidR="00F16A45" w:rsidRPr="000F1F50" w:rsidRDefault="00F16A45" w:rsidP="00481903">
            <w:pPr>
              <w:pStyle w:val="TableText"/>
              <w:spacing w:line="240" w:lineRule="auto"/>
              <w:jc w:val="right"/>
              <w:cnfStyle w:val="000000000000" w:firstRow="0" w:lastRow="0" w:firstColumn="0" w:lastColumn="0" w:oddVBand="0" w:evenVBand="0" w:oddHBand="0" w:evenHBand="0" w:firstRowFirstColumn="0" w:firstRowLastColumn="0" w:lastRowFirstColumn="0" w:lastRowLastColumn="0"/>
              <w:rPr>
                <w:sz w:val="12"/>
                <w:szCs w:val="12"/>
              </w:rPr>
            </w:pPr>
          </w:p>
        </w:tc>
      </w:tr>
      <w:tr w:rsidR="0088420A" w:rsidRPr="000F1F50" w14:paraId="3811C9AD" w14:textId="77777777" w:rsidTr="008842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 w:type="dxa"/>
          </w:tcPr>
          <w:p w14:paraId="685E972F" w14:textId="77777777" w:rsidR="00F16A45" w:rsidRPr="000F1F50" w:rsidRDefault="00F16A45" w:rsidP="00F16A45">
            <w:pPr>
              <w:pStyle w:val="TableText"/>
              <w:spacing w:line="240" w:lineRule="auto"/>
              <w:rPr>
                <w:sz w:val="12"/>
                <w:szCs w:val="12"/>
              </w:rPr>
            </w:pPr>
          </w:p>
        </w:tc>
        <w:tc>
          <w:tcPr>
            <w:tcW w:w="756" w:type="dxa"/>
            <w:tcBorders>
              <w:right w:val="single" w:sz="4" w:space="0" w:color="auto"/>
            </w:tcBorders>
          </w:tcPr>
          <w:p w14:paraId="0FDAE049" w14:textId="24B2F223" w:rsidR="00F16A45" w:rsidRPr="000F1F50" w:rsidRDefault="00F16A45" w:rsidP="00F16A45">
            <w:pPr>
              <w:pStyle w:val="TableText"/>
              <w:spacing w:line="240" w:lineRule="auto"/>
              <w:cnfStyle w:val="000000100000" w:firstRow="0" w:lastRow="0" w:firstColumn="0" w:lastColumn="0" w:oddVBand="0" w:evenVBand="0" w:oddHBand="1" w:evenHBand="0" w:firstRowFirstColumn="0" w:firstRowLastColumn="0" w:lastRowFirstColumn="0" w:lastRowLastColumn="0"/>
              <w:rPr>
                <w:sz w:val="12"/>
                <w:szCs w:val="12"/>
              </w:rPr>
            </w:pPr>
            <w:r w:rsidRPr="000F1F50">
              <w:rPr>
                <w:sz w:val="12"/>
                <w:szCs w:val="12"/>
              </w:rPr>
              <w:t>22/2/</w:t>
            </w:r>
            <w:r w:rsidR="00DE4991" w:rsidRPr="000F1F50">
              <w:rPr>
                <w:sz w:val="12"/>
                <w:szCs w:val="12"/>
              </w:rPr>
              <w:t>20</w:t>
            </w:r>
            <w:r w:rsidR="00DE4991">
              <w:rPr>
                <w:sz w:val="12"/>
                <w:szCs w:val="12"/>
              </w:rPr>
              <w:t>22</w:t>
            </w:r>
          </w:p>
        </w:tc>
        <w:tc>
          <w:tcPr>
            <w:tcW w:w="755" w:type="dxa"/>
            <w:tcBorders>
              <w:left w:val="single" w:sz="4" w:space="0" w:color="auto"/>
            </w:tcBorders>
          </w:tcPr>
          <w:p w14:paraId="5ADB0DCF" w14:textId="77777777" w:rsidR="00F16A45" w:rsidRPr="000F1F50" w:rsidRDefault="00F16A45" w:rsidP="00481903">
            <w:pPr>
              <w:pStyle w:val="TableText"/>
              <w:spacing w:line="240" w:lineRule="auto"/>
              <w:jc w:val="right"/>
              <w:cnfStyle w:val="000000100000" w:firstRow="0" w:lastRow="0" w:firstColumn="0" w:lastColumn="0" w:oddVBand="0" w:evenVBand="0" w:oddHBand="1" w:evenHBand="0" w:firstRowFirstColumn="0" w:firstRowLastColumn="0" w:lastRowFirstColumn="0" w:lastRowLastColumn="0"/>
              <w:rPr>
                <w:sz w:val="12"/>
                <w:szCs w:val="12"/>
              </w:rPr>
            </w:pPr>
          </w:p>
        </w:tc>
        <w:tc>
          <w:tcPr>
            <w:tcW w:w="425" w:type="dxa"/>
          </w:tcPr>
          <w:p w14:paraId="20ADAE5E" w14:textId="77777777" w:rsidR="00F16A45" w:rsidRPr="000F1F50" w:rsidRDefault="00F16A45" w:rsidP="00481903">
            <w:pPr>
              <w:pStyle w:val="TableText"/>
              <w:spacing w:line="240" w:lineRule="auto"/>
              <w:jc w:val="right"/>
              <w:cnfStyle w:val="000000100000" w:firstRow="0" w:lastRow="0" w:firstColumn="0" w:lastColumn="0" w:oddVBand="0" w:evenVBand="0" w:oddHBand="1" w:evenHBand="0" w:firstRowFirstColumn="0" w:firstRowLastColumn="0" w:lastRowFirstColumn="0" w:lastRowLastColumn="0"/>
              <w:rPr>
                <w:sz w:val="12"/>
                <w:szCs w:val="12"/>
              </w:rPr>
            </w:pPr>
          </w:p>
        </w:tc>
        <w:tc>
          <w:tcPr>
            <w:tcW w:w="709" w:type="dxa"/>
          </w:tcPr>
          <w:p w14:paraId="420722C4" w14:textId="77777777" w:rsidR="00F16A45" w:rsidRPr="000F1F50" w:rsidRDefault="00F16A45" w:rsidP="00481903">
            <w:pPr>
              <w:pStyle w:val="TableText"/>
              <w:spacing w:line="240" w:lineRule="auto"/>
              <w:jc w:val="right"/>
              <w:cnfStyle w:val="000000100000" w:firstRow="0" w:lastRow="0" w:firstColumn="0" w:lastColumn="0" w:oddVBand="0" w:evenVBand="0" w:oddHBand="1" w:evenHBand="0" w:firstRowFirstColumn="0" w:firstRowLastColumn="0" w:lastRowFirstColumn="0" w:lastRowLastColumn="0"/>
              <w:rPr>
                <w:sz w:val="12"/>
                <w:szCs w:val="12"/>
              </w:rPr>
            </w:pPr>
          </w:p>
        </w:tc>
        <w:tc>
          <w:tcPr>
            <w:tcW w:w="425" w:type="dxa"/>
          </w:tcPr>
          <w:p w14:paraId="26CD9225" w14:textId="77777777" w:rsidR="00F16A45" w:rsidRPr="000F1F50" w:rsidRDefault="00F16A45" w:rsidP="00481903">
            <w:pPr>
              <w:pStyle w:val="TableText"/>
              <w:spacing w:line="240" w:lineRule="auto"/>
              <w:jc w:val="right"/>
              <w:cnfStyle w:val="000000100000" w:firstRow="0" w:lastRow="0" w:firstColumn="0" w:lastColumn="0" w:oddVBand="0" w:evenVBand="0" w:oddHBand="1" w:evenHBand="0" w:firstRowFirstColumn="0" w:firstRowLastColumn="0" w:lastRowFirstColumn="0" w:lastRowLastColumn="0"/>
              <w:rPr>
                <w:sz w:val="12"/>
                <w:szCs w:val="12"/>
              </w:rPr>
            </w:pPr>
          </w:p>
        </w:tc>
        <w:tc>
          <w:tcPr>
            <w:tcW w:w="709" w:type="dxa"/>
          </w:tcPr>
          <w:p w14:paraId="376C6038" w14:textId="77777777" w:rsidR="00F16A45" w:rsidRPr="000F1F50" w:rsidRDefault="00F16A45" w:rsidP="00481903">
            <w:pPr>
              <w:pStyle w:val="TableText"/>
              <w:spacing w:line="240" w:lineRule="auto"/>
              <w:jc w:val="right"/>
              <w:cnfStyle w:val="000000100000" w:firstRow="0" w:lastRow="0" w:firstColumn="0" w:lastColumn="0" w:oddVBand="0" w:evenVBand="0" w:oddHBand="1" w:evenHBand="0" w:firstRowFirstColumn="0" w:firstRowLastColumn="0" w:lastRowFirstColumn="0" w:lastRowLastColumn="0"/>
              <w:rPr>
                <w:sz w:val="12"/>
                <w:szCs w:val="12"/>
              </w:rPr>
            </w:pPr>
          </w:p>
        </w:tc>
        <w:tc>
          <w:tcPr>
            <w:tcW w:w="567" w:type="dxa"/>
          </w:tcPr>
          <w:p w14:paraId="53B428D2" w14:textId="77777777" w:rsidR="00F16A45" w:rsidRPr="000F1F50" w:rsidRDefault="00F16A45" w:rsidP="00481903">
            <w:pPr>
              <w:pStyle w:val="TableText"/>
              <w:spacing w:line="240" w:lineRule="auto"/>
              <w:jc w:val="right"/>
              <w:cnfStyle w:val="000000100000" w:firstRow="0" w:lastRow="0" w:firstColumn="0" w:lastColumn="0" w:oddVBand="0" w:evenVBand="0" w:oddHBand="1" w:evenHBand="0" w:firstRowFirstColumn="0" w:firstRowLastColumn="0" w:lastRowFirstColumn="0" w:lastRowLastColumn="0"/>
              <w:rPr>
                <w:sz w:val="12"/>
                <w:szCs w:val="12"/>
              </w:rPr>
            </w:pPr>
          </w:p>
        </w:tc>
        <w:tc>
          <w:tcPr>
            <w:tcW w:w="709" w:type="dxa"/>
          </w:tcPr>
          <w:p w14:paraId="418EF062" w14:textId="77777777" w:rsidR="00F16A45" w:rsidRPr="000F1F50" w:rsidRDefault="00F16A45" w:rsidP="00481903">
            <w:pPr>
              <w:pStyle w:val="TableText"/>
              <w:spacing w:line="240" w:lineRule="auto"/>
              <w:jc w:val="right"/>
              <w:cnfStyle w:val="000000100000" w:firstRow="0" w:lastRow="0" w:firstColumn="0" w:lastColumn="0" w:oddVBand="0" w:evenVBand="0" w:oddHBand="1" w:evenHBand="0" w:firstRowFirstColumn="0" w:firstRowLastColumn="0" w:lastRowFirstColumn="0" w:lastRowLastColumn="0"/>
              <w:rPr>
                <w:sz w:val="12"/>
                <w:szCs w:val="12"/>
              </w:rPr>
            </w:pPr>
          </w:p>
        </w:tc>
        <w:tc>
          <w:tcPr>
            <w:tcW w:w="567" w:type="dxa"/>
            <w:tcBorders>
              <w:right w:val="single" w:sz="4" w:space="0" w:color="auto"/>
            </w:tcBorders>
          </w:tcPr>
          <w:p w14:paraId="23A8AF41" w14:textId="77777777" w:rsidR="00F16A45" w:rsidRPr="000F1F50" w:rsidRDefault="00F16A45" w:rsidP="00481903">
            <w:pPr>
              <w:pStyle w:val="TableText"/>
              <w:spacing w:line="240" w:lineRule="auto"/>
              <w:jc w:val="right"/>
              <w:cnfStyle w:val="000000100000" w:firstRow="0" w:lastRow="0" w:firstColumn="0" w:lastColumn="0" w:oddVBand="0" w:evenVBand="0" w:oddHBand="1" w:evenHBand="0" w:firstRowFirstColumn="0" w:firstRowLastColumn="0" w:lastRowFirstColumn="0" w:lastRowLastColumn="0"/>
              <w:rPr>
                <w:sz w:val="12"/>
                <w:szCs w:val="12"/>
              </w:rPr>
            </w:pPr>
          </w:p>
        </w:tc>
        <w:tc>
          <w:tcPr>
            <w:tcW w:w="662" w:type="dxa"/>
            <w:tcBorders>
              <w:left w:val="single" w:sz="4" w:space="0" w:color="auto"/>
            </w:tcBorders>
          </w:tcPr>
          <w:p w14:paraId="19580750" w14:textId="77777777" w:rsidR="00F16A45" w:rsidRPr="000F1F50" w:rsidRDefault="00F16A45" w:rsidP="00481903">
            <w:pPr>
              <w:pStyle w:val="TableText"/>
              <w:spacing w:line="240" w:lineRule="auto"/>
              <w:jc w:val="right"/>
              <w:cnfStyle w:val="000000100000" w:firstRow="0" w:lastRow="0" w:firstColumn="0" w:lastColumn="0" w:oddVBand="0" w:evenVBand="0" w:oddHBand="1" w:evenHBand="0" w:firstRowFirstColumn="0" w:firstRowLastColumn="0" w:lastRowFirstColumn="0" w:lastRowLastColumn="0"/>
              <w:rPr>
                <w:sz w:val="12"/>
                <w:szCs w:val="12"/>
              </w:rPr>
            </w:pPr>
          </w:p>
        </w:tc>
        <w:tc>
          <w:tcPr>
            <w:tcW w:w="425" w:type="dxa"/>
          </w:tcPr>
          <w:p w14:paraId="611D5277" w14:textId="77777777" w:rsidR="00F16A45" w:rsidRPr="000F1F50" w:rsidRDefault="00F16A45" w:rsidP="00481903">
            <w:pPr>
              <w:pStyle w:val="TableText"/>
              <w:spacing w:line="240" w:lineRule="auto"/>
              <w:jc w:val="right"/>
              <w:cnfStyle w:val="000000100000" w:firstRow="0" w:lastRow="0" w:firstColumn="0" w:lastColumn="0" w:oddVBand="0" w:evenVBand="0" w:oddHBand="1" w:evenHBand="0" w:firstRowFirstColumn="0" w:firstRowLastColumn="0" w:lastRowFirstColumn="0" w:lastRowLastColumn="0"/>
              <w:rPr>
                <w:sz w:val="12"/>
                <w:szCs w:val="12"/>
              </w:rPr>
            </w:pPr>
          </w:p>
        </w:tc>
        <w:tc>
          <w:tcPr>
            <w:tcW w:w="755" w:type="dxa"/>
          </w:tcPr>
          <w:p w14:paraId="3CF1873B" w14:textId="77777777" w:rsidR="00F16A45" w:rsidRPr="000F1F50" w:rsidRDefault="00F16A45" w:rsidP="00481903">
            <w:pPr>
              <w:pStyle w:val="TableText"/>
              <w:spacing w:line="240" w:lineRule="auto"/>
              <w:jc w:val="right"/>
              <w:cnfStyle w:val="000000100000" w:firstRow="0" w:lastRow="0" w:firstColumn="0" w:lastColumn="0" w:oddVBand="0" w:evenVBand="0" w:oddHBand="1" w:evenHBand="0" w:firstRowFirstColumn="0" w:firstRowLastColumn="0" w:lastRowFirstColumn="0" w:lastRowLastColumn="0"/>
              <w:rPr>
                <w:sz w:val="12"/>
                <w:szCs w:val="12"/>
              </w:rPr>
            </w:pPr>
          </w:p>
        </w:tc>
        <w:tc>
          <w:tcPr>
            <w:tcW w:w="425" w:type="dxa"/>
          </w:tcPr>
          <w:p w14:paraId="18DDC0C5" w14:textId="77777777" w:rsidR="00F16A45" w:rsidRPr="000F1F50" w:rsidRDefault="00F16A45" w:rsidP="00481903">
            <w:pPr>
              <w:pStyle w:val="TableText"/>
              <w:spacing w:line="240" w:lineRule="auto"/>
              <w:jc w:val="right"/>
              <w:cnfStyle w:val="000000100000" w:firstRow="0" w:lastRow="0" w:firstColumn="0" w:lastColumn="0" w:oddVBand="0" w:evenVBand="0" w:oddHBand="1" w:evenHBand="0" w:firstRowFirstColumn="0" w:firstRowLastColumn="0" w:lastRowFirstColumn="0" w:lastRowLastColumn="0"/>
              <w:rPr>
                <w:sz w:val="12"/>
                <w:szCs w:val="12"/>
              </w:rPr>
            </w:pPr>
          </w:p>
        </w:tc>
        <w:tc>
          <w:tcPr>
            <w:tcW w:w="709" w:type="dxa"/>
          </w:tcPr>
          <w:p w14:paraId="0E391358" w14:textId="77777777" w:rsidR="00F16A45" w:rsidRPr="000F1F50" w:rsidRDefault="00F16A45" w:rsidP="00481903">
            <w:pPr>
              <w:pStyle w:val="TableText"/>
              <w:spacing w:line="240" w:lineRule="auto"/>
              <w:jc w:val="right"/>
              <w:cnfStyle w:val="000000100000" w:firstRow="0" w:lastRow="0" w:firstColumn="0" w:lastColumn="0" w:oddVBand="0" w:evenVBand="0" w:oddHBand="1" w:evenHBand="0" w:firstRowFirstColumn="0" w:firstRowLastColumn="0" w:lastRowFirstColumn="0" w:lastRowLastColumn="0"/>
              <w:rPr>
                <w:sz w:val="12"/>
                <w:szCs w:val="12"/>
              </w:rPr>
            </w:pPr>
          </w:p>
        </w:tc>
        <w:tc>
          <w:tcPr>
            <w:tcW w:w="567" w:type="dxa"/>
          </w:tcPr>
          <w:p w14:paraId="3EA7DF46" w14:textId="77777777" w:rsidR="00F16A45" w:rsidRPr="000F1F50" w:rsidRDefault="00F16A45" w:rsidP="00481903">
            <w:pPr>
              <w:pStyle w:val="TableText"/>
              <w:spacing w:line="240" w:lineRule="auto"/>
              <w:jc w:val="right"/>
              <w:cnfStyle w:val="000000100000" w:firstRow="0" w:lastRow="0" w:firstColumn="0" w:lastColumn="0" w:oddVBand="0" w:evenVBand="0" w:oddHBand="1" w:evenHBand="0" w:firstRowFirstColumn="0" w:firstRowLastColumn="0" w:lastRowFirstColumn="0" w:lastRowLastColumn="0"/>
              <w:rPr>
                <w:sz w:val="12"/>
                <w:szCs w:val="12"/>
              </w:rPr>
            </w:pPr>
          </w:p>
        </w:tc>
        <w:tc>
          <w:tcPr>
            <w:tcW w:w="709" w:type="dxa"/>
          </w:tcPr>
          <w:p w14:paraId="492D6522" w14:textId="77777777" w:rsidR="00F16A45" w:rsidRPr="000F1F50" w:rsidRDefault="00F16A45" w:rsidP="00481903">
            <w:pPr>
              <w:pStyle w:val="TableText"/>
              <w:spacing w:line="240" w:lineRule="auto"/>
              <w:jc w:val="right"/>
              <w:cnfStyle w:val="000000100000" w:firstRow="0" w:lastRow="0" w:firstColumn="0" w:lastColumn="0" w:oddVBand="0" w:evenVBand="0" w:oddHBand="1" w:evenHBand="0" w:firstRowFirstColumn="0" w:firstRowLastColumn="0" w:lastRowFirstColumn="0" w:lastRowLastColumn="0"/>
              <w:rPr>
                <w:sz w:val="12"/>
                <w:szCs w:val="12"/>
              </w:rPr>
            </w:pPr>
          </w:p>
        </w:tc>
        <w:tc>
          <w:tcPr>
            <w:tcW w:w="548" w:type="dxa"/>
            <w:tcBorders>
              <w:right w:val="single" w:sz="4" w:space="0" w:color="auto"/>
            </w:tcBorders>
          </w:tcPr>
          <w:p w14:paraId="6D8DA7FC" w14:textId="77777777" w:rsidR="00F16A45" w:rsidRPr="000F1F50" w:rsidRDefault="00F16A45" w:rsidP="00481903">
            <w:pPr>
              <w:pStyle w:val="TableText"/>
              <w:spacing w:line="240" w:lineRule="auto"/>
              <w:jc w:val="right"/>
              <w:cnfStyle w:val="000000100000" w:firstRow="0" w:lastRow="0" w:firstColumn="0" w:lastColumn="0" w:oddVBand="0" w:evenVBand="0" w:oddHBand="1" w:evenHBand="0" w:firstRowFirstColumn="0" w:firstRowLastColumn="0" w:lastRowFirstColumn="0" w:lastRowLastColumn="0"/>
              <w:rPr>
                <w:sz w:val="12"/>
                <w:szCs w:val="12"/>
              </w:rPr>
            </w:pPr>
          </w:p>
        </w:tc>
        <w:tc>
          <w:tcPr>
            <w:tcW w:w="823" w:type="dxa"/>
            <w:tcBorders>
              <w:left w:val="single" w:sz="4" w:space="0" w:color="auto"/>
            </w:tcBorders>
          </w:tcPr>
          <w:p w14:paraId="6E725831" w14:textId="77777777" w:rsidR="00F16A45" w:rsidRPr="000F1F50" w:rsidRDefault="00F16A45" w:rsidP="00481903">
            <w:pPr>
              <w:pStyle w:val="TableText"/>
              <w:spacing w:line="240" w:lineRule="auto"/>
              <w:jc w:val="right"/>
              <w:cnfStyle w:val="000000100000" w:firstRow="0" w:lastRow="0" w:firstColumn="0" w:lastColumn="0" w:oddVBand="0" w:evenVBand="0" w:oddHBand="1" w:evenHBand="0" w:firstRowFirstColumn="0" w:firstRowLastColumn="0" w:lastRowFirstColumn="0" w:lastRowLastColumn="0"/>
              <w:rPr>
                <w:sz w:val="12"/>
                <w:szCs w:val="12"/>
              </w:rPr>
            </w:pPr>
          </w:p>
        </w:tc>
        <w:tc>
          <w:tcPr>
            <w:tcW w:w="851" w:type="dxa"/>
          </w:tcPr>
          <w:p w14:paraId="33AE5480" w14:textId="77777777" w:rsidR="00F16A45" w:rsidRPr="000F1F50" w:rsidRDefault="00F16A45" w:rsidP="00481903">
            <w:pPr>
              <w:pStyle w:val="TableText"/>
              <w:spacing w:line="240" w:lineRule="auto"/>
              <w:jc w:val="right"/>
              <w:cnfStyle w:val="000000100000" w:firstRow="0" w:lastRow="0" w:firstColumn="0" w:lastColumn="0" w:oddVBand="0" w:evenVBand="0" w:oddHBand="1" w:evenHBand="0" w:firstRowFirstColumn="0" w:firstRowLastColumn="0" w:lastRowFirstColumn="0" w:lastRowLastColumn="0"/>
              <w:rPr>
                <w:sz w:val="12"/>
                <w:szCs w:val="12"/>
              </w:rPr>
            </w:pPr>
          </w:p>
        </w:tc>
        <w:tc>
          <w:tcPr>
            <w:tcW w:w="1276" w:type="dxa"/>
          </w:tcPr>
          <w:p w14:paraId="41EC805A" w14:textId="77777777" w:rsidR="00F16A45" w:rsidRPr="000F1F50" w:rsidRDefault="00F16A45" w:rsidP="00481903">
            <w:pPr>
              <w:pStyle w:val="TableText"/>
              <w:spacing w:line="240" w:lineRule="auto"/>
              <w:jc w:val="right"/>
              <w:cnfStyle w:val="000000100000" w:firstRow="0" w:lastRow="0" w:firstColumn="0" w:lastColumn="0" w:oddVBand="0" w:evenVBand="0" w:oddHBand="1" w:evenHBand="0" w:firstRowFirstColumn="0" w:firstRowLastColumn="0" w:lastRowFirstColumn="0" w:lastRowLastColumn="0"/>
              <w:rPr>
                <w:sz w:val="12"/>
                <w:szCs w:val="12"/>
              </w:rPr>
            </w:pPr>
          </w:p>
        </w:tc>
        <w:tc>
          <w:tcPr>
            <w:tcW w:w="1038" w:type="dxa"/>
          </w:tcPr>
          <w:p w14:paraId="2904CBF9" w14:textId="77777777" w:rsidR="00F16A45" w:rsidRPr="000F1F50" w:rsidRDefault="00F16A45" w:rsidP="00481903">
            <w:pPr>
              <w:pStyle w:val="TableText"/>
              <w:spacing w:line="240" w:lineRule="auto"/>
              <w:jc w:val="right"/>
              <w:cnfStyle w:val="000000100000" w:firstRow="0" w:lastRow="0" w:firstColumn="0" w:lastColumn="0" w:oddVBand="0" w:evenVBand="0" w:oddHBand="1" w:evenHBand="0" w:firstRowFirstColumn="0" w:firstRowLastColumn="0" w:lastRowFirstColumn="0" w:lastRowLastColumn="0"/>
              <w:rPr>
                <w:sz w:val="12"/>
                <w:szCs w:val="12"/>
              </w:rPr>
            </w:pPr>
          </w:p>
        </w:tc>
      </w:tr>
      <w:tr w:rsidR="0088420A" w:rsidRPr="000F1F50" w14:paraId="59169B18" w14:textId="77777777" w:rsidTr="0088420A">
        <w:tc>
          <w:tcPr>
            <w:cnfStyle w:val="001000000000" w:firstRow="0" w:lastRow="0" w:firstColumn="1" w:lastColumn="0" w:oddVBand="0" w:evenVBand="0" w:oddHBand="0" w:evenHBand="0" w:firstRowFirstColumn="0" w:firstRowLastColumn="0" w:lastRowFirstColumn="0" w:lastRowLastColumn="0"/>
            <w:tcW w:w="237" w:type="dxa"/>
          </w:tcPr>
          <w:p w14:paraId="44ADB80A" w14:textId="77777777" w:rsidR="00F16A45" w:rsidRPr="000F1F50" w:rsidRDefault="00F16A45" w:rsidP="00F16A45">
            <w:pPr>
              <w:pStyle w:val="TableText"/>
              <w:spacing w:line="240" w:lineRule="auto"/>
              <w:rPr>
                <w:sz w:val="12"/>
                <w:szCs w:val="12"/>
              </w:rPr>
            </w:pPr>
          </w:p>
        </w:tc>
        <w:tc>
          <w:tcPr>
            <w:tcW w:w="756" w:type="dxa"/>
            <w:tcBorders>
              <w:right w:val="single" w:sz="4" w:space="0" w:color="auto"/>
            </w:tcBorders>
          </w:tcPr>
          <w:p w14:paraId="577A29AE" w14:textId="7FFFE661" w:rsidR="00F16A45" w:rsidRPr="000F1F50" w:rsidRDefault="00F16A45" w:rsidP="00F16A45">
            <w:pPr>
              <w:pStyle w:val="TableText"/>
              <w:spacing w:line="240" w:lineRule="auto"/>
              <w:cnfStyle w:val="000000000000" w:firstRow="0" w:lastRow="0" w:firstColumn="0" w:lastColumn="0" w:oddVBand="0" w:evenVBand="0" w:oddHBand="0" w:evenHBand="0" w:firstRowFirstColumn="0" w:firstRowLastColumn="0" w:lastRowFirstColumn="0" w:lastRowLastColumn="0"/>
              <w:rPr>
                <w:sz w:val="12"/>
                <w:szCs w:val="12"/>
              </w:rPr>
            </w:pPr>
            <w:r w:rsidRPr="000F1F50">
              <w:rPr>
                <w:sz w:val="12"/>
                <w:szCs w:val="12"/>
              </w:rPr>
              <w:t>23/2/</w:t>
            </w:r>
            <w:r w:rsidR="00DE4991" w:rsidRPr="000F1F50">
              <w:rPr>
                <w:sz w:val="12"/>
                <w:szCs w:val="12"/>
              </w:rPr>
              <w:t>20</w:t>
            </w:r>
            <w:r w:rsidR="00DE4991">
              <w:rPr>
                <w:sz w:val="12"/>
                <w:szCs w:val="12"/>
              </w:rPr>
              <w:t>22</w:t>
            </w:r>
          </w:p>
        </w:tc>
        <w:tc>
          <w:tcPr>
            <w:tcW w:w="755" w:type="dxa"/>
            <w:tcBorders>
              <w:left w:val="single" w:sz="4" w:space="0" w:color="auto"/>
            </w:tcBorders>
          </w:tcPr>
          <w:p w14:paraId="049DCE15" w14:textId="77777777" w:rsidR="00F16A45" w:rsidRPr="000F1F50" w:rsidRDefault="00F16A45" w:rsidP="00481903">
            <w:pPr>
              <w:pStyle w:val="TableText"/>
              <w:spacing w:line="240" w:lineRule="auto"/>
              <w:jc w:val="right"/>
              <w:cnfStyle w:val="000000000000" w:firstRow="0" w:lastRow="0" w:firstColumn="0" w:lastColumn="0" w:oddVBand="0" w:evenVBand="0" w:oddHBand="0" w:evenHBand="0" w:firstRowFirstColumn="0" w:firstRowLastColumn="0" w:lastRowFirstColumn="0" w:lastRowLastColumn="0"/>
              <w:rPr>
                <w:sz w:val="12"/>
                <w:szCs w:val="12"/>
              </w:rPr>
            </w:pPr>
          </w:p>
        </w:tc>
        <w:tc>
          <w:tcPr>
            <w:tcW w:w="425" w:type="dxa"/>
          </w:tcPr>
          <w:p w14:paraId="34F7B540" w14:textId="77777777" w:rsidR="00F16A45" w:rsidRPr="000F1F50" w:rsidRDefault="00F16A45" w:rsidP="00481903">
            <w:pPr>
              <w:pStyle w:val="TableText"/>
              <w:spacing w:line="240" w:lineRule="auto"/>
              <w:jc w:val="right"/>
              <w:cnfStyle w:val="000000000000" w:firstRow="0" w:lastRow="0" w:firstColumn="0" w:lastColumn="0" w:oddVBand="0" w:evenVBand="0" w:oddHBand="0" w:evenHBand="0" w:firstRowFirstColumn="0" w:firstRowLastColumn="0" w:lastRowFirstColumn="0" w:lastRowLastColumn="0"/>
              <w:rPr>
                <w:sz w:val="12"/>
                <w:szCs w:val="12"/>
              </w:rPr>
            </w:pPr>
          </w:p>
        </w:tc>
        <w:tc>
          <w:tcPr>
            <w:tcW w:w="709" w:type="dxa"/>
          </w:tcPr>
          <w:p w14:paraId="1DF125E1" w14:textId="77777777" w:rsidR="00F16A45" w:rsidRPr="000F1F50" w:rsidRDefault="00F16A45" w:rsidP="00481903">
            <w:pPr>
              <w:pStyle w:val="TableText"/>
              <w:spacing w:line="240" w:lineRule="auto"/>
              <w:jc w:val="right"/>
              <w:cnfStyle w:val="000000000000" w:firstRow="0" w:lastRow="0" w:firstColumn="0" w:lastColumn="0" w:oddVBand="0" w:evenVBand="0" w:oddHBand="0" w:evenHBand="0" w:firstRowFirstColumn="0" w:firstRowLastColumn="0" w:lastRowFirstColumn="0" w:lastRowLastColumn="0"/>
              <w:rPr>
                <w:sz w:val="12"/>
                <w:szCs w:val="12"/>
              </w:rPr>
            </w:pPr>
          </w:p>
        </w:tc>
        <w:tc>
          <w:tcPr>
            <w:tcW w:w="425" w:type="dxa"/>
          </w:tcPr>
          <w:p w14:paraId="4746E31B" w14:textId="77777777" w:rsidR="00F16A45" w:rsidRPr="000F1F50" w:rsidRDefault="00F16A45" w:rsidP="00481903">
            <w:pPr>
              <w:pStyle w:val="TableText"/>
              <w:spacing w:line="240" w:lineRule="auto"/>
              <w:jc w:val="right"/>
              <w:cnfStyle w:val="000000000000" w:firstRow="0" w:lastRow="0" w:firstColumn="0" w:lastColumn="0" w:oddVBand="0" w:evenVBand="0" w:oddHBand="0" w:evenHBand="0" w:firstRowFirstColumn="0" w:firstRowLastColumn="0" w:lastRowFirstColumn="0" w:lastRowLastColumn="0"/>
              <w:rPr>
                <w:sz w:val="12"/>
                <w:szCs w:val="12"/>
              </w:rPr>
            </w:pPr>
          </w:p>
        </w:tc>
        <w:tc>
          <w:tcPr>
            <w:tcW w:w="709" w:type="dxa"/>
          </w:tcPr>
          <w:p w14:paraId="05836FC2" w14:textId="77777777" w:rsidR="00F16A45" w:rsidRPr="000F1F50" w:rsidRDefault="00F16A45" w:rsidP="00481903">
            <w:pPr>
              <w:pStyle w:val="TableText"/>
              <w:spacing w:line="240" w:lineRule="auto"/>
              <w:jc w:val="right"/>
              <w:cnfStyle w:val="000000000000" w:firstRow="0" w:lastRow="0" w:firstColumn="0" w:lastColumn="0" w:oddVBand="0" w:evenVBand="0" w:oddHBand="0" w:evenHBand="0" w:firstRowFirstColumn="0" w:firstRowLastColumn="0" w:lastRowFirstColumn="0" w:lastRowLastColumn="0"/>
              <w:rPr>
                <w:sz w:val="12"/>
                <w:szCs w:val="12"/>
              </w:rPr>
            </w:pPr>
          </w:p>
        </w:tc>
        <w:tc>
          <w:tcPr>
            <w:tcW w:w="567" w:type="dxa"/>
          </w:tcPr>
          <w:p w14:paraId="1E631D00" w14:textId="77777777" w:rsidR="00F16A45" w:rsidRPr="000F1F50" w:rsidRDefault="00F16A45" w:rsidP="00481903">
            <w:pPr>
              <w:pStyle w:val="TableText"/>
              <w:spacing w:line="240" w:lineRule="auto"/>
              <w:jc w:val="right"/>
              <w:cnfStyle w:val="000000000000" w:firstRow="0" w:lastRow="0" w:firstColumn="0" w:lastColumn="0" w:oddVBand="0" w:evenVBand="0" w:oddHBand="0" w:evenHBand="0" w:firstRowFirstColumn="0" w:firstRowLastColumn="0" w:lastRowFirstColumn="0" w:lastRowLastColumn="0"/>
              <w:rPr>
                <w:sz w:val="12"/>
                <w:szCs w:val="12"/>
              </w:rPr>
            </w:pPr>
          </w:p>
        </w:tc>
        <w:tc>
          <w:tcPr>
            <w:tcW w:w="709" w:type="dxa"/>
          </w:tcPr>
          <w:p w14:paraId="5B5C5354" w14:textId="77777777" w:rsidR="00F16A45" w:rsidRPr="000F1F50" w:rsidRDefault="00F16A45" w:rsidP="00481903">
            <w:pPr>
              <w:pStyle w:val="TableText"/>
              <w:spacing w:line="240" w:lineRule="auto"/>
              <w:jc w:val="right"/>
              <w:cnfStyle w:val="000000000000" w:firstRow="0" w:lastRow="0" w:firstColumn="0" w:lastColumn="0" w:oddVBand="0" w:evenVBand="0" w:oddHBand="0" w:evenHBand="0" w:firstRowFirstColumn="0" w:firstRowLastColumn="0" w:lastRowFirstColumn="0" w:lastRowLastColumn="0"/>
              <w:rPr>
                <w:sz w:val="12"/>
                <w:szCs w:val="12"/>
              </w:rPr>
            </w:pPr>
          </w:p>
        </w:tc>
        <w:tc>
          <w:tcPr>
            <w:tcW w:w="567" w:type="dxa"/>
            <w:tcBorders>
              <w:right w:val="single" w:sz="4" w:space="0" w:color="auto"/>
            </w:tcBorders>
          </w:tcPr>
          <w:p w14:paraId="7FF59E8B" w14:textId="77777777" w:rsidR="00F16A45" w:rsidRPr="000F1F50" w:rsidRDefault="00F16A45" w:rsidP="00481903">
            <w:pPr>
              <w:pStyle w:val="TableText"/>
              <w:spacing w:line="240" w:lineRule="auto"/>
              <w:jc w:val="right"/>
              <w:cnfStyle w:val="000000000000" w:firstRow="0" w:lastRow="0" w:firstColumn="0" w:lastColumn="0" w:oddVBand="0" w:evenVBand="0" w:oddHBand="0" w:evenHBand="0" w:firstRowFirstColumn="0" w:firstRowLastColumn="0" w:lastRowFirstColumn="0" w:lastRowLastColumn="0"/>
              <w:rPr>
                <w:sz w:val="12"/>
                <w:szCs w:val="12"/>
              </w:rPr>
            </w:pPr>
          </w:p>
        </w:tc>
        <w:tc>
          <w:tcPr>
            <w:tcW w:w="662" w:type="dxa"/>
            <w:tcBorders>
              <w:left w:val="single" w:sz="4" w:space="0" w:color="auto"/>
            </w:tcBorders>
          </w:tcPr>
          <w:p w14:paraId="0CD04352" w14:textId="77777777" w:rsidR="00F16A45" w:rsidRPr="000F1F50" w:rsidRDefault="00F16A45" w:rsidP="00481903">
            <w:pPr>
              <w:pStyle w:val="TableText"/>
              <w:spacing w:line="240" w:lineRule="auto"/>
              <w:jc w:val="right"/>
              <w:cnfStyle w:val="000000000000" w:firstRow="0" w:lastRow="0" w:firstColumn="0" w:lastColumn="0" w:oddVBand="0" w:evenVBand="0" w:oddHBand="0" w:evenHBand="0" w:firstRowFirstColumn="0" w:firstRowLastColumn="0" w:lastRowFirstColumn="0" w:lastRowLastColumn="0"/>
              <w:rPr>
                <w:sz w:val="12"/>
                <w:szCs w:val="12"/>
              </w:rPr>
            </w:pPr>
          </w:p>
        </w:tc>
        <w:tc>
          <w:tcPr>
            <w:tcW w:w="425" w:type="dxa"/>
          </w:tcPr>
          <w:p w14:paraId="2CB347FA" w14:textId="77777777" w:rsidR="00F16A45" w:rsidRPr="000F1F50" w:rsidRDefault="00F16A45" w:rsidP="00481903">
            <w:pPr>
              <w:pStyle w:val="TableText"/>
              <w:spacing w:line="240" w:lineRule="auto"/>
              <w:jc w:val="right"/>
              <w:cnfStyle w:val="000000000000" w:firstRow="0" w:lastRow="0" w:firstColumn="0" w:lastColumn="0" w:oddVBand="0" w:evenVBand="0" w:oddHBand="0" w:evenHBand="0" w:firstRowFirstColumn="0" w:firstRowLastColumn="0" w:lastRowFirstColumn="0" w:lastRowLastColumn="0"/>
              <w:rPr>
                <w:sz w:val="12"/>
                <w:szCs w:val="12"/>
              </w:rPr>
            </w:pPr>
          </w:p>
        </w:tc>
        <w:tc>
          <w:tcPr>
            <w:tcW w:w="755" w:type="dxa"/>
          </w:tcPr>
          <w:p w14:paraId="74DD1B95" w14:textId="77777777" w:rsidR="00F16A45" w:rsidRPr="000F1F50" w:rsidRDefault="00F16A45" w:rsidP="00481903">
            <w:pPr>
              <w:pStyle w:val="TableText"/>
              <w:spacing w:line="240" w:lineRule="auto"/>
              <w:jc w:val="right"/>
              <w:cnfStyle w:val="000000000000" w:firstRow="0" w:lastRow="0" w:firstColumn="0" w:lastColumn="0" w:oddVBand="0" w:evenVBand="0" w:oddHBand="0" w:evenHBand="0" w:firstRowFirstColumn="0" w:firstRowLastColumn="0" w:lastRowFirstColumn="0" w:lastRowLastColumn="0"/>
              <w:rPr>
                <w:sz w:val="12"/>
                <w:szCs w:val="12"/>
              </w:rPr>
            </w:pPr>
          </w:p>
        </w:tc>
        <w:tc>
          <w:tcPr>
            <w:tcW w:w="425" w:type="dxa"/>
          </w:tcPr>
          <w:p w14:paraId="61781432" w14:textId="77777777" w:rsidR="00F16A45" w:rsidRPr="000F1F50" w:rsidRDefault="00F16A45" w:rsidP="00481903">
            <w:pPr>
              <w:pStyle w:val="TableText"/>
              <w:spacing w:line="240" w:lineRule="auto"/>
              <w:jc w:val="right"/>
              <w:cnfStyle w:val="000000000000" w:firstRow="0" w:lastRow="0" w:firstColumn="0" w:lastColumn="0" w:oddVBand="0" w:evenVBand="0" w:oddHBand="0" w:evenHBand="0" w:firstRowFirstColumn="0" w:firstRowLastColumn="0" w:lastRowFirstColumn="0" w:lastRowLastColumn="0"/>
              <w:rPr>
                <w:sz w:val="12"/>
                <w:szCs w:val="12"/>
              </w:rPr>
            </w:pPr>
          </w:p>
        </w:tc>
        <w:tc>
          <w:tcPr>
            <w:tcW w:w="709" w:type="dxa"/>
          </w:tcPr>
          <w:p w14:paraId="56AB9FC0" w14:textId="77777777" w:rsidR="00F16A45" w:rsidRPr="000F1F50" w:rsidRDefault="00F16A45" w:rsidP="00481903">
            <w:pPr>
              <w:pStyle w:val="TableText"/>
              <w:spacing w:line="240" w:lineRule="auto"/>
              <w:jc w:val="right"/>
              <w:cnfStyle w:val="000000000000" w:firstRow="0" w:lastRow="0" w:firstColumn="0" w:lastColumn="0" w:oddVBand="0" w:evenVBand="0" w:oddHBand="0" w:evenHBand="0" w:firstRowFirstColumn="0" w:firstRowLastColumn="0" w:lastRowFirstColumn="0" w:lastRowLastColumn="0"/>
              <w:rPr>
                <w:sz w:val="12"/>
                <w:szCs w:val="12"/>
              </w:rPr>
            </w:pPr>
          </w:p>
        </w:tc>
        <w:tc>
          <w:tcPr>
            <w:tcW w:w="567" w:type="dxa"/>
          </w:tcPr>
          <w:p w14:paraId="111C5D92" w14:textId="77777777" w:rsidR="00F16A45" w:rsidRPr="000F1F50" w:rsidRDefault="00F16A45" w:rsidP="00481903">
            <w:pPr>
              <w:pStyle w:val="TableText"/>
              <w:spacing w:line="240" w:lineRule="auto"/>
              <w:jc w:val="right"/>
              <w:cnfStyle w:val="000000000000" w:firstRow="0" w:lastRow="0" w:firstColumn="0" w:lastColumn="0" w:oddVBand="0" w:evenVBand="0" w:oddHBand="0" w:evenHBand="0" w:firstRowFirstColumn="0" w:firstRowLastColumn="0" w:lastRowFirstColumn="0" w:lastRowLastColumn="0"/>
              <w:rPr>
                <w:sz w:val="12"/>
                <w:szCs w:val="12"/>
              </w:rPr>
            </w:pPr>
          </w:p>
        </w:tc>
        <w:tc>
          <w:tcPr>
            <w:tcW w:w="709" w:type="dxa"/>
          </w:tcPr>
          <w:p w14:paraId="083E7532" w14:textId="77777777" w:rsidR="00F16A45" w:rsidRPr="000F1F50" w:rsidRDefault="00F16A45" w:rsidP="00481903">
            <w:pPr>
              <w:pStyle w:val="TableText"/>
              <w:spacing w:line="240" w:lineRule="auto"/>
              <w:jc w:val="right"/>
              <w:cnfStyle w:val="000000000000" w:firstRow="0" w:lastRow="0" w:firstColumn="0" w:lastColumn="0" w:oddVBand="0" w:evenVBand="0" w:oddHBand="0" w:evenHBand="0" w:firstRowFirstColumn="0" w:firstRowLastColumn="0" w:lastRowFirstColumn="0" w:lastRowLastColumn="0"/>
              <w:rPr>
                <w:sz w:val="12"/>
                <w:szCs w:val="12"/>
              </w:rPr>
            </w:pPr>
          </w:p>
        </w:tc>
        <w:tc>
          <w:tcPr>
            <w:tcW w:w="548" w:type="dxa"/>
            <w:tcBorders>
              <w:right w:val="single" w:sz="4" w:space="0" w:color="auto"/>
            </w:tcBorders>
          </w:tcPr>
          <w:p w14:paraId="5F22B9C2" w14:textId="77777777" w:rsidR="00F16A45" w:rsidRPr="000F1F50" w:rsidRDefault="00F16A45" w:rsidP="00481903">
            <w:pPr>
              <w:pStyle w:val="TableText"/>
              <w:spacing w:line="240" w:lineRule="auto"/>
              <w:jc w:val="right"/>
              <w:cnfStyle w:val="000000000000" w:firstRow="0" w:lastRow="0" w:firstColumn="0" w:lastColumn="0" w:oddVBand="0" w:evenVBand="0" w:oddHBand="0" w:evenHBand="0" w:firstRowFirstColumn="0" w:firstRowLastColumn="0" w:lastRowFirstColumn="0" w:lastRowLastColumn="0"/>
              <w:rPr>
                <w:sz w:val="12"/>
                <w:szCs w:val="12"/>
              </w:rPr>
            </w:pPr>
          </w:p>
        </w:tc>
        <w:tc>
          <w:tcPr>
            <w:tcW w:w="823" w:type="dxa"/>
            <w:tcBorders>
              <w:left w:val="single" w:sz="4" w:space="0" w:color="auto"/>
            </w:tcBorders>
          </w:tcPr>
          <w:p w14:paraId="523D22F7" w14:textId="77777777" w:rsidR="00F16A45" w:rsidRPr="000F1F50" w:rsidRDefault="00F16A45" w:rsidP="00481903">
            <w:pPr>
              <w:pStyle w:val="TableText"/>
              <w:spacing w:line="240" w:lineRule="auto"/>
              <w:jc w:val="right"/>
              <w:cnfStyle w:val="000000000000" w:firstRow="0" w:lastRow="0" w:firstColumn="0" w:lastColumn="0" w:oddVBand="0" w:evenVBand="0" w:oddHBand="0" w:evenHBand="0" w:firstRowFirstColumn="0" w:firstRowLastColumn="0" w:lastRowFirstColumn="0" w:lastRowLastColumn="0"/>
              <w:rPr>
                <w:sz w:val="12"/>
                <w:szCs w:val="12"/>
              </w:rPr>
            </w:pPr>
          </w:p>
        </w:tc>
        <w:tc>
          <w:tcPr>
            <w:tcW w:w="851" w:type="dxa"/>
          </w:tcPr>
          <w:p w14:paraId="0E732F41" w14:textId="77777777" w:rsidR="00F16A45" w:rsidRPr="000F1F50" w:rsidRDefault="00F16A45" w:rsidP="00481903">
            <w:pPr>
              <w:pStyle w:val="TableText"/>
              <w:spacing w:line="240" w:lineRule="auto"/>
              <w:jc w:val="right"/>
              <w:cnfStyle w:val="000000000000" w:firstRow="0" w:lastRow="0" w:firstColumn="0" w:lastColumn="0" w:oddVBand="0" w:evenVBand="0" w:oddHBand="0" w:evenHBand="0" w:firstRowFirstColumn="0" w:firstRowLastColumn="0" w:lastRowFirstColumn="0" w:lastRowLastColumn="0"/>
              <w:rPr>
                <w:sz w:val="12"/>
                <w:szCs w:val="12"/>
              </w:rPr>
            </w:pPr>
          </w:p>
        </w:tc>
        <w:tc>
          <w:tcPr>
            <w:tcW w:w="1276" w:type="dxa"/>
          </w:tcPr>
          <w:p w14:paraId="73E89C10" w14:textId="77777777" w:rsidR="00F16A45" w:rsidRPr="000F1F50" w:rsidRDefault="00F16A45" w:rsidP="00481903">
            <w:pPr>
              <w:pStyle w:val="TableText"/>
              <w:spacing w:line="240" w:lineRule="auto"/>
              <w:jc w:val="right"/>
              <w:cnfStyle w:val="000000000000" w:firstRow="0" w:lastRow="0" w:firstColumn="0" w:lastColumn="0" w:oddVBand="0" w:evenVBand="0" w:oddHBand="0" w:evenHBand="0" w:firstRowFirstColumn="0" w:firstRowLastColumn="0" w:lastRowFirstColumn="0" w:lastRowLastColumn="0"/>
              <w:rPr>
                <w:sz w:val="12"/>
                <w:szCs w:val="12"/>
              </w:rPr>
            </w:pPr>
          </w:p>
        </w:tc>
        <w:tc>
          <w:tcPr>
            <w:tcW w:w="1038" w:type="dxa"/>
          </w:tcPr>
          <w:p w14:paraId="3DB80EA5" w14:textId="77777777" w:rsidR="00F16A45" w:rsidRPr="000F1F50" w:rsidRDefault="00F16A45" w:rsidP="00481903">
            <w:pPr>
              <w:pStyle w:val="TableText"/>
              <w:spacing w:line="240" w:lineRule="auto"/>
              <w:jc w:val="right"/>
              <w:cnfStyle w:val="000000000000" w:firstRow="0" w:lastRow="0" w:firstColumn="0" w:lastColumn="0" w:oddVBand="0" w:evenVBand="0" w:oddHBand="0" w:evenHBand="0" w:firstRowFirstColumn="0" w:firstRowLastColumn="0" w:lastRowFirstColumn="0" w:lastRowLastColumn="0"/>
              <w:rPr>
                <w:sz w:val="12"/>
                <w:szCs w:val="12"/>
              </w:rPr>
            </w:pPr>
          </w:p>
        </w:tc>
      </w:tr>
      <w:tr w:rsidR="0088420A" w:rsidRPr="000F1F50" w14:paraId="4298144B" w14:textId="77777777" w:rsidTr="008842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 w:type="dxa"/>
          </w:tcPr>
          <w:p w14:paraId="37EC1082" w14:textId="77777777" w:rsidR="00F16A45" w:rsidRPr="000F1F50" w:rsidRDefault="00F16A45" w:rsidP="00F16A45">
            <w:pPr>
              <w:pStyle w:val="TableText"/>
              <w:spacing w:line="240" w:lineRule="auto"/>
              <w:rPr>
                <w:sz w:val="12"/>
                <w:szCs w:val="12"/>
              </w:rPr>
            </w:pPr>
          </w:p>
        </w:tc>
        <w:tc>
          <w:tcPr>
            <w:tcW w:w="756" w:type="dxa"/>
            <w:tcBorders>
              <w:right w:val="single" w:sz="4" w:space="0" w:color="auto"/>
            </w:tcBorders>
          </w:tcPr>
          <w:p w14:paraId="76421DF2" w14:textId="173603E3" w:rsidR="00F16A45" w:rsidRPr="000F1F50" w:rsidRDefault="00F16A45" w:rsidP="00F16A45">
            <w:pPr>
              <w:pStyle w:val="TableText"/>
              <w:spacing w:line="240" w:lineRule="auto"/>
              <w:cnfStyle w:val="000000100000" w:firstRow="0" w:lastRow="0" w:firstColumn="0" w:lastColumn="0" w:oddVBand="0" w:evenVBand="0" w:oddHBand="1" w:evenHBand="0" w:firstRowFirstColumn="0" w:firstRowLastColumn="0" w:lastRowFirstColumn="0" w:lastRowLastColumn="0"/>
              <w:rPr>
                <w:sz w:val="12"/>
                <w:szCs w:val="12"/>
              </w:rPr>
            </w:pPr>
            <w:r w:rsidRPr="000F1F50">
              <w:rPr>
                <w:sz w:val="12"/>
                <w:szCs w:val="12"/>
              </w:rPr>
              <w:t>24/2/</w:t>
            </w:r>
            <w:r w:rsidR="00DE4991" w:rsidRPr="000F1F50">
              <w:rPr>
                <w:sz w:val="12"/>
                <w:szCs w:val="12"/>
              </w:rPr>
              <w:t>20</w:t>
            </w:r>
            <w:r w:rsidR="00DE4991">
              <w:rPr>
                <w:sz w:val="12"/>
                <w:szCs w:val="12"/>
              </w:rPr>
              <w:t>22</w:t>
            </w:r>
          </w:p>
        </w:tc>
        <w:tc>
          <w:tcPr>
            <w:tcW w:w="755" w:type="dxa"/>
            <w:tcBorders>
              <w:left w:val="single" w:sz="4" w:space="0" w:color="auto"/>
            </w:tcBorders>
          </w:tcPr>
          <w:p w14:paraId="6183BB22" w14:textId="77777777" w:rsidR="00F16A45" w:rsidRPr="000F1F50" w:rsidRDefault="00F16A45" w:rsidP="00481903">
            <w:pPr>
              <w:pStyle w:val="TableText"/>
              <w:spacing w:line="240" w:lineRule="auto"/>
              <w:jc w:val="right"/>
              <w:cnfStyle w:val="000000100000" w:firstRow="0" w:lastRow="0" w:firstColumn="0" w:lastColumn="0" w:oddVBand="0" w:evenVBand="0" w:oddHBand="1" w:evenHBand="0" w:firstRowFirstColumn="0" w:firstRowLastColumn="0" w:lastRowFirstColumn="0" w:lastRowLastColumn="0"/>
              <w:rPr>
                <w:sz w:val="12"/>
                <w:szCs w:val="12"/>
              </w:rPr>
            </w:pPr>
          </w:p>
        </w:tc>
        <w:tc>
          <w:tcPr>
            <w:tcW w:w="425" w:type="dxa"/>
          </w:tcPr>
          <w:p w14:paraId="15AEE8B0" w14:textId="77777777" w:rsidR="00F16A45" w:rsidRPr="000F1F50" w:rsidRDefault="00F16A45" w:rsidP="00481903">
            <w:pPr>
              <w:pStyle w:val="TableText"/>
              <w:spacing w:line="240" w:lineRule="auto"/>
              <w:jc w:val="right"/>
              <w:cnfStyle w:val="000000100000" w:firstRow="0" w:lastRow="0" w:firstColumn="0" w:lastColumn="0" w:oddVBand="0" w:evenVBand="0" w:oddHBand="1" w:evenHBand="0" w:firstRowFirstColumn="0" w:firstRowLastColumn="0" w:lastRowFirstColumn="0" w:lastRowLastColumn="0"/>
              <w:rPr>
                <w:sz w:val="12"/>
                <w:szCs w:val="12"/>
              </w:rPr>
            </w:pPr>
          </w:p>
        </w:tc>
        <w:tc>
          <w:tcPr>
            <w:tcW w:w="709" w:type="dxa"/>
          </w:tcPr>
          <w:p w14:paraId="7221598A" w14:textId="77777777" w:rsidR="00F16A45" w:rsidRPr="000F1F50" w:rsidRDefault="00F16A45" w:rsidP="00481903">
            <w:pPr>
              <w:pStyle w:val="TableText"/>
              <w:spacing w:line="240" w:lineRule="auto"/>
              <w:jc w:val="right"/>
              <w:cnfStyle w:val="000000100000" w:firstRow="0" w:lastRow="0" w:firstColumn="0" w:lastColumn="0" w:oddVBand="0" w:evenVBand="0" w:oddHBand="1" w:evenHBand="0" w:firstRowFirstColumn="0" w:firstRowLastColumn="0" w:lastRowFirstColumn="0" w:lastRowLastColumn="0"/>
              <w:rPr>
                <w:sz w:val="12"/>
                <w:szCs w:val="12"/>
              </w:rPr>
            </w:pPr>
          </w:p>
        </w:tc>
        <w:tc>
          <w:tcPr>
            <w:tcW w:w="425" w:type="dxa"/>
          </w:tcPr>
          <w:p w14:paraId="0474E66B" w14:textId="77777777" w:rsidR="00F16A45" w:rsidRPr="000F1F50" w:rsidRDefault="00F16A45" w:rsidP="00481903">
            <w:pPr>
              <w:pStyle w:val="TableText"/>
              <w:spacing w:line="240" w:lineRule="auto"/>
              <w:jc w:val="right"/>
              <w:cnfStyle w:val="000000100000" w:firstRow="0" w:lastRow="0" w:firstColumn="0" w:lastColumn="0" w:oddVBand="0" w:evenVBand="0" w:oddHBand="1" w:evenHBand="0" w:firstRowFirstColumn="0" w:firstRowLastColumn="0" w:lastRowFirstColumn="0" w:lastRowLastColumn="0"/>
              <w:rPr>
                <w:sz w:val="12"/>
                <w:szCs w:val="12"/>
              </w:rPr>
            </w:pPr>
          </w:p>
        </w:tc>
        <w:tc>
          <w:tcPr>
            <w:tcW w:w="709" w:type="dxa"/>
          </w:tcPr>
          <w:p w14:paraId="13B83DE9" w14:textId="77777777" w:rsidR="00F16A45" w:rsidRPr="000F1F50" w:rsidRDefault="00F16A45" w:rsidP="00481903">
            <w:pPr>
              <w:pStyle w:val="TableText"/>
              <w:spacing w:line="240" w:lineRule="auto"/>
              <w:jc w:val="right"/>
              <w:cnfStyle w:val="000000100000" w:firstRow="0" w:lastRow="0" w:firstColumn="0" w:lastColumn="0" w:oddVBand="0" w:evenVBand="0" w:oddHBand="1" w:evenHBand="0" w:firstRowFirstColumn="0" w:firstRowLastColumn="0" w:lastRowFirstColumn="0" w:lastRowLastColumn="0"/>
              <w:rPr>
                <w:sz w:val="12"/>
                <w:szCs w:val="12"/>
              </w:rPr>
            </w:pPr>
          </w:p>
        </w:tc>
        <w:tc>
          <w:tcPr>
            <w:tcW w:w="567" w:type="dxa"/>
          </w:tcPr>
          <w:p w14:paraId="1E2BDF79" w14:textId="77777777" w:rsidR="00F16A45" w:rsidRPr="000F1F50" w:rsidRDefault="00F16A45" w:rsidP="00481903">
            <w:pPr>
              <w:pStyle w:val="TableText"/>
              <w:spacing w:line="240" w:lineRule="auto"/>
              <w:jc w:val="right"/>
              <w:cnfStyle w:val="000000100000" w:firstRow="0" w:lastRow="0" w:firstColumn="0" w:lastColumn="0" w:oddVBand="0" w:evenVBand="0" w:oddHBand="1" w:evenHBand="0" w:firstRowFirstColumn="0" w:firstRowLastColumn="0" w:lastRowFirstColumn="0" w:lastRowLastColumn="0"/>
              <w:rPr>
                <w:sz w:val="12"/>
                <w:szCs w:val="12"/>
              </w:rPr>
            </w:pPr>
          </w:p>
        </w:tc>
        <w:tc>
          <w:tcPr>
            <w:tcW w:w="709" w:type="dxa"/>
          </w:tcPr>
          <w:p w14:paraId="1428F7E8" w14:textId="77777777" w:rsidR="00F16A45" w:rsidRPr="000F1F50" w:rsidRDefault="00F16A45" w:rsidP="00481903">
            <w:pPr>
              <w:pStyle w:val="TableText"/>
              <w:spacing w:line="240" w:lineRule="auto"/>
              <w:jc w:val="right"/>
              <w:cnfStyle w:val="000000100000" w:firstRow="0" w:lastRow="0" w:firstColumn="0" w:lastColumn="0" w:oddVBand="0" w:evenVBand="0" w:oddHBand="1" w:evenHBand="0" w:firstRowFirstColumn="0" w:firstRowLastColumn="0" w:lastRowFirstColumn="0" w:lastRowLastColumn="0"/>
              <w:rPr>
                <w:sz w:val="12"/>
                <w:szCs w:val="12"/>
              </w:rPr>
            </w:pPr>
          </w:p>
        </w:tc>
        <w:tc>
          <w:tcPr>
            <w:tcW w:w="567" w:type="dxa"/>
            <w:tcBorders>
              <w:right w:val="single" w:sz="4" w:space="0" w:color="auto"/>
            </w:tcBorders>
          </w:tcPr>
          <w:p w14:paraId="02BB35AF" w14:textId="77777777" w:rsidR="00F16A45" w:rsidRPr="000F1F50" w:rsidRDefault="00F16A45" w:rsidP="00481903">
            <w:pPr>
              <w:pStyle w:val="TableText"/>
              <w:spacing w:line="240" w:lineRule="auto"/>
              <w:jc w:val="right"/>
              <w:cnfStyle w:val="000000100000" w:firstRow="0" w:lastRow="0" w:firstColumn="0" w:lastColumn="0" w:oddVBand="0" w:evenVBand="0" w:oddHBand="1" w:evenHBand="0" w:firstRowFirstColumn="0" w:firstRowLastColumn="0" w:lastRowFirstColumn="0" w:lastRowLastColumn="0"/>
              <w:rPr>
                <w:sz w:val="12"/>
                <w:szCs w:val="12"/>
              </w:rPr>
            </w:pPr>
          </w:p>
        </w:tc>
        <w:tc>
          <w:tcPr>
            <w:tcW w:w="662" w:type="dxa"/>
            <w:tcBorders>
              <w:left w:val="single" w:sz="4" w:space="0" w:color="auto"/>
            </w:tcBorders>
          </w:tcPr>
          <w:p w14:paraId="6307291A" w14:textId="77777777" w:rsidR="00F16A45" w:rsidRPr="000F1F50" w:rsidRDefault="00F16A45" w:rsidP="00481903">
            <w:pPr>
              <w:pStyle w:val="TableText"/>
              <w:spacing w:line="240" w:lineRule="auto"/>
              <w:jc w:val="right"/>
              <w:cnfStyle w:val="000000100000" w:firstRow="0" w:lastRow="0" w:firstColumn="0" w:lastColumn="0" w:oddVBand="0" w:evenVBand="0" w:oddHBand="1" w:evenHBand="0" w:firstRowFirstColumn="0" w:firstRowLastColumn="0" w:lastRowFirstColumn="0" w:lastRowLastColumn="0"/>
              <w:rPr>
                <w:sz w:val="12"/>
                <w:szCs w:val="12"/>
              </w:rPr>
            </w:pPr>
          </w:p>
        </w:tc>
        <w:tc>
          <w:tcPr>
            <w:tcW w:w="425" w:type="dxa"/>
          </w:tcPr>
          <w:p w14:paraId="24C0C2EF" w14:textId="77777777" w:rsidR="00F16A45" w:rsidRPr="000F1F50" w:rsidRDefault="00F16A45" w:rsidP="00481903">
            <w:pPr>
              <w:pStyle w:val="TableText"/>
              <w:spacing w:line="240" w:lineRule="auto"/>
              <w:jc w:val="right"/>
              <w:cnfStyle w:val="000000100000" w:firstRow="0" w:lastRow="0" w:firstColumn="0" w:lastColumn="0" w:oddVBand="0" w:evenVBand="0" w:oddHBand="1" w:evenHBand="0" w:firstRowFirstColumn="0" w:firstRowLastColumn="0" w:lastRowFirstColumn="0" w:lastRowLastColumn="0"/>
              <w:rPr>
                <w:sz w:val="12"/>
                <w:szCs w:val="12"/>
              </w:rPr>
            </w:pPr>
          </w:p>
        </w:tc>
        <w:tc>
          <w:tcPr>
            <w:tcW w:w="755" w:type="dxa"/>
          </w:tcPr>
          <w:p w14:paraId="1203184E" w14:textId="77777777" w:rsidR="00F16A45" w:rsidRPr="000F1F50" w:rsidRDefault="00F16A45" w:rsidP="00481903">
            <w:pPr>
              <w:pStyle w:val="TableText"/>
              <w:spacing w:line="240" w:lineRule="auto"/>
              <w:jc w:val="right"/>
              <w:cnfStyle w:val="000000100000" w:firstRow="0" w:lastRow="0" w:firstColumn="0" w:lastColumn="0" w:oddVBand="0" w:evenVBand="0" w:oddHBand="1" w:evenHBand="0" w:firstRowFirstColumn="0" w:firstRowLastColumn="0" w:lastRowFirstColumn="0" w:lastRowLastColumn="0"/>
              <w:rPr>
                <w:sz w:val="12"/>
                <w:szCs w:val="12"/>
              </w:rPr>
            </w:pPr>
          </w:p>
        </w:tc>
        <w:tc>
          <w:tcPr>
            <w:tcW w:w="425" w:type="dxa"/>
          </w:tcPr>
          <w:p w14:paraId="1BC814C5" w14:textId="77777777" w:rsidR="00F16A45" w:rsidRPr="000F1F50" w:rsidRDefault="00F16A45" w:rsidP="00481903">
            <w:pPr>
              <w:pStyle w:val="TableText"/>
              <w:spacing w:line="240" w:lineRule="auto"/>
              <w:jc w:val="right"/>
              <w:cnfStyle w:val="000000100000" w:firstRow="0" w:lastRow="0" w:firstColumn="0" w:lastColumn="0" w:oddVBand="0" w:evenVBand="0" w:oddHBand="1" w:evenHBand="0" w:firstRowFirstColumn="0" w:firstRowLastColumn="0" w:lastRowFirstColumn="0" w:lastRowLastColumn="0"/>
              <w:rPr>
                <w:sz w:val="12"/>
                <w:szCs w:val="12"/>
              </w:rPr>
            </w:pPr>
          </w:p>
        </w:tc>
        <w:tc>
          <w:tcPr>
            <w:tcW w:w="709" w:type="dxa"/>
          </w:tcPr>
          <w:p w14:paraId="65D19864" w14:textId="77777777" w:rsidR="00F16A45" w:rsidRPr="000F1F50" w:rsidRDefault="00F16A45" w:rsidP="00481903">
            <w:pPr>
              <w:pStyle w:val="TableText"/>
              <w:spacing w:line="240" w:lineRule="auto"/>
              <w:jc w:val="right"/>
              <w:cnfStyle w:val="000000100000" w:firstRow="0" w:lastRow="0" w:firstColumn="0" w:lastColumn="0" w:oddVBand="0" w:evenVBand="0" w:oddHBand="1" w:evenHBand="0" w:firstRowFirstColumn="0" w:firstRowLastColumn="0" w:lastRowFirstColumn="0" w:lastRowLastColumn="0"/>
              <w:rPr>
                <w:sz w:val="12"/>
                <w:szCs w:val="12"/>
              </w:rPr>
            </w:pPr>
          </w:p>
        </w:tc>
        <w:tc>
          <w:tcPr>
            <w:tcW w:w="567" w:type="dxa"/>
          </w:tcPr>
          <w:p w14:paraId="34D01177" w14:textId="77777777" w:rsidR="00F16A45" w:rsidRPr="000F1F50" w:rsidRDefault="00F16A45" w:rsidP="00481903">
            <w:pPr>
              <w:pStyle w:val="TableText"/>
              <w:spacing w:line="240" w:lineRule="auto"/>
              <w:jc w:val="right"/>
              <w:cnfStyle w:val="000000100000" w:firstRow="0" w:lastRow="0" w:firstColumn="0" w:lastColumn="0" w:oddVBand="0" w:evenVBand="0" w:oddHBand="1" w:evenHBand="0" w:firstRowFirstColumn="0" w:firstRowLastColumn="0" w:lastRowFirstColumn="0" w:lastRowLastColumn="0"/>
              <w:rPr>
                <w:sz w:val="12"/>
                <w:szCs w:val="12"/>
              </w:rPr>
            </w:pPr>
          </w:p>
        </w:tc>
        <w:tc>
          <w:tcPr>
            <w:tcW w:w="709" w:type="dxa"/>
          </w:tcPr>
          <w:p w14:paraId="2D3AD39B" w14:textId="77777777" w:rsidR="00F16A45" w:rsidRPr="000F1F50" w:rsidRDefault="00F16A45" w:rsidP="00481903">
            <w:pPr>
              <w:pStyle w:val="TableText"/>
              <w:spacing w:line="240" w:lineRule="auto"/>
              <w:jc w:val="right"/>
              <w:cnfStyle w:val="000000100000" w:firstRow="0" w:lastRow="0" w:firstColumn="0" w:lastColumn="0" w:oddVBand="0" w:evenVBand="0" w:oddHBand="1" w:evenHBand="0" w:firstRowFirstColumn="0" w:firstRowLastColumn="0" w:lastRowFirstColumn="0" w:lastRowLastColumn="0"/>
              <w:rPr>
                <w:sz w:val="12"/>
                <w:szCs w:val="12"/>
              </w:rPr>
            </w:pPr>
          </w:p>
        </w:tc>
        <w:tc>
          <w:tcPr>
            <w:tcW w:w="548" w:type="dxa"/>
            <w:tcBorders>
              <w:right w:val="single" w:sz="4" w:space="0" w:color="auto"/>
            </w:tcBorders>
          </w:tcPr>
          <w:p w14:paraId="44D49ED3" w14:textId="77777777" w:rsidR="00F16A45" w:rsidRPr="000F1F50" w:rsidRDefault="00F16A45" w:rsidP="00481903">
            <w:pPr>
              <w:pStyle w:val="TableText"/>
              <w:spacing w:line="240" w:lineRule="auto"/>
              <w:jc w:val="right"/>
              <w:cnfStyle w:val="000000100000" w:firstRow="0" w:lastRow="0" w:firstColumn="0" w:lastColumn="0" w:oddVBand="0" w:evenVBand="0" w:oddHBand="1" w:evenHBand="0" w:firstRowFirstColumn="0" w:firstRowLastColumn="0" w:lastRowFirstColumn="0" w:lastRowLastColumn="0"/>
              <w:rPr>
                <w:sz w:val="12"/>
                <w:szCs w:val="12"/>
              </w:rPr>
            </w:pPr>
          </w:p>
        </w:tc>
        <w:tc>
          <w:tcPr>
            <w:tcW w:w="823" w:type="dxa"/>
            <w:tcBorders>
              <w:left w:val="single" w:sz="4" w:space="0" w:color="auto"/>
            </w:tcBorders>
          </w:tcPr>
          <w:p w14:paraId="2BDDE35D" w14:textId="77777777" w:rsidR="00F16A45" w:rsidRPr="000F1F50" w:rsidRDefault="00F16A45" w:rsidP="00481903">
            <w:pPr>
              <w:pStyle w:val="TableText"/>
              <w:spacing w:line="240" w:lineRule="auto"/>
              <w:jc w:val="right"/>
              <w:cnfStyle w:val="000000100000" w:firstRow="0" w:lastRow="0" w:firstColumn="0" w:lastColumn="0" w:oddVBand="0" w:evenVBand="0" w:oddHBand="1" w:evenHBand="0" w:firstRowFirstColumn="0" w:firstRowLastColumn="0" w:lastRowFirstColumn="0" w:lastRowLastColumn="0"/>
              <w:rPr>
                <w:sz w:val="12"/>
                <w:szCs w:val="12"/>
              </w:rPr>
            </w:pPr>
          </w:p>
        </w:tc>
        <w:tc>
          <w:tcPr>
            <w:tcW w:w="851" w:type="dxa"/>
          </w:tcPr>
          <w:p w14:paraId="7A683109" w14:textId="77777777" w:rsidR="00F16A45" w:rsidRPr="000F1F50" w:rsidRDefault="00F16A45" w:rsidP="00481903">
            <w:pPr>
              <w:pStyle w:val="TableText"/>
              <w:spacing w:line="240" w:lineRule="auto"/>
              <w:jc w:val="right"/>
              <w:cnfStyle w:val="000000100000" w:firstRow="0" w:lastRow="0" w:firstColumn="0" w:lastColumn="0" w:oddVBand="0" w:evenVBand="0" w:oddHBand="1" w:evenHBand="0" w:firstRowFirstColumn="0" w:firstRowLastColumn="0" w:lastRowFirstColumn="0" w:lastRowLastColumn="0"/>
              <w:rPr>
                <w:sz w:val="12"/>
                <w:szCs w:val="12"/>
              </w:rPr>
            </w:pPr>
          </w:p>
        </w:tc>
        <w:tc>
          <w:tcPr>
            <w:tcW w:w="1276" w:type="dxa"/>
          </w:tcPr>
          <w:p w14:paraId="0A2E26B3" w14:textId="77777777" w:rsidR="00F16A45" w:rsidRPr="000F1F50" w:rsidRDefault="00F16A45" w:rsidP="00481903">
            <w:pPr>
              <w:pStyle w:val="TableText"/>
              <w:spacing w:line="240" w:lineRule="auto"/>
              <w:jc w:val="right"/>
              <w:cnfStyle w:val="000000100000" w:firstRow="0" w:lastRow="0" w:firstColumn="0" w:lastColumn="0" w:oddVBand="0" w:evenVBand="0" w:oddHBand="1" w:evenHBand="0" w:firstRowFirstColumn="0" w:firstRowLastColumn="0" w:lastRowFirstColumn="0" w:lastRowLastColumn="0"/>
              <w:rPr>
                <w:sz w:val="12"/>
                <w:szCs w:val="12"/>
              </w:rPr>
            </w:pPr>
          </w:p>
        </w:tc>
        <w:tc>
          <w:tcPr>
            <w:tcW w:w="1038" w:type="dxa"/>
          </w:tcPr>
          <w:p w14:paraId="278F6164" w14:textId="77777777" w:rsidR="00F16A45" w:rsidRPr="000F1F50" w:rsidRDefault="00F16A45" w:rsidP="00481903">
            <w:pPr>
              <w:pStyle w:val="TableText"/>
              <w:spacing w:line="240" w:lineRule="auto"/>
              <w:jc w:val="right"/>
              <w:cnfStyle w:val="000000100000" w:firstRow="0" w:lastRow="0" w:firstColumn="0" w:lastColumn="0" w:oddVBand="0" w:evenVBand="0" w:oddHBand="1" w:evenHBand="0" w:firstRowFirstColumn="0" w:firstRowLastColumn="0" w:lastRowFirstColumn="0" w:lastRowLastColumn="0"/>
              <w:rPr>
                <w:sz w:val="12"/>
                <w:szCs w:val="12"/>
              </w:rPr>
            </w:pPr>
          </w:p>
        </w:tc>
      </w:tr>
      <w:tr w:rsidR="0088420A" w:rsidRPr="000F1F50" w14:paraId="46511029" w14:textId="77777777" w:rsidTr="0088420A">
        <w:tc>
          <w:tcPr>
            <w:cnfStyle w:val="001000000000" w:firstRow="0" w:lastRow="0" w:firstColumn="1" w:lastColumn="0" w:oddVBand="0" w:evenVBand="0" w:oddHBand="0" w:evenHBand="0" w:firstRowFirstColumn="0" w:firstRowLastColumn="0" w:lastRowFirstColumn="0" w:lastRowLastColumn="0"/>
            <w:tcW w:w="237" w:type="dxa"/>
          </w:tcPr>
          <w:p w14:paraId="1BA01E04" w14:textId="77777777" w:rsidR="00F16A45" w:rsidRPr="000F1F50" w:rsidRDefault="00F16A45" w:rsidP="00F16A45">
            <w:pPr>
              <w:pStyle w:val="TableText"/>
              <w:spacing w:line="240" w:lineRule="auto"/>
              <w:rPr>
                <w:sz w:val="12"/>
                <w:szCs w:val="12"/>
              </w:rPr>
            </w:pPr>
          </w:p>
        </w:tc>
        <w:tc>
          <w:tcPr>
            <w:tcW w:w="756" w:type="dxa"/>
            <w:tcBorders>
              <w:right w:val="single" w:sz="4" w:space="0" w:color="auto"/>
            </w:tcBorders>
          </w:tcPr>
          <w:p w14:paraId="68AC3AF2" w14:textId="0E3FDDA1" w:rsidR="00F16A45" w:rsidRPr="000F1F50" w:rsidRDefault="00F16A45" w:rsidP="00F16A45">
            <w:pPr>
              <w:pStyle w:val="TableText"/>
              <w:spacing w:line="240" w:lineRule="auto"/>
              <w:cnfStyle w:val="000000000000" w:firstRow="0" w:lastRow="0" w:firstColumn="0" w:lastColumn="0" w:oddVBand="0" w:evenVBand="0" w:oddHBand="0" w:evenHBand="0" w:firstRowFirstColumn="0" w:firstRowLastColumn="0" w:lastRowFirstColumn="0" w:lastRowLastColumn="0"/>
              <w:rPr>
                <w:sz w:val="12"/>
                <w:szCs w:val="12"/>
              </w:rPr>
            </w:pPr>
            <w:r w:rsidRPr="000F1F50">
              <w:rPr>
                <w:sz w:val="12"/>
                <w:szCs w:val="12"/>
              </w:rPr>
              <w:t>25/2/</w:t>
            </w:r>
            <w:r w:rsidR="00DE4991" w:rsidRPr="000F1F50">
              <w:rPr>
                <w:sz w:val="12"/>
                <w:szCs w:val="12"/>
              </w:rPr>
              <w:t>20</w:t>
            </w:r>
            <w:r w:rsidR="00DE4991">
              <w:rPr>
                <w:sz w:val="12"/>
                <w:szCs w:val="12"/>
              </w:rPr>
              <w:t>22</w:t>
            </w:r>
          </w:p>
        </w:tc>
        <w:tc>
          <w:tcPr>
            <w:tcW w:w="755" w:type="dxa"/>
            <w:tcBorders>
              <w:left w:val="single" w:sz="4" w:space="0" w:color="auto"/>
            </w:tcBorders>
          </w:tcPr>
          <w:p w14:paraId="325E384C" w14:textId="77777777" w:rsidR="00F16A45" w:rsidRPr="000F1F50" w:rsidRDefault="00F16A45" w:rsidP="00481903">
            <w:pPr>
              <w:pStyle w:val="TableText"/>
              <w:spacing w:line="240" w:lineRule="auto"/>
              <w:jc w:val="right"/>
              <w:cnfStyle w:val="000000000000" w:firstRow="0" w:lastRow="0" w:firstColumn="0" w:lastColumn="0" w:oddVBand="0" w:evenVBand="0" w:oddHBand="0" w:evenHBand="0" w:firstRowFirstColumn="0" w:firstRowLastColumn="0" w:lastRowFirstColumn="0" w:lastRowLastColumn="0"/>
              <w:rPr>
                <w:sz w:val="12"/>
                <w:szCs w:val="12"/>
              </w:rPr>
            </w:pPr>
          </w:p>
        </w:tc>
        <w:tc>
          <w:tcPr>
            <w:tcW w:w="425" w:type="dxa"/>
          </w:tcPr>
          <w:p w14:paraId="63A2820A" w14:textId="77777777" w:rsidR="00F16A45" w:rsidRPr="000F1F50" w:rsidRDefault="00F16A45" w:rsidP="00481903">
            <w:pPr>
              <w:pStyle w:val="TableText"/>
              <w:spacing w:line="240" w:lineRule="auto"/>
              <w:jc w:val="right"/>
              <w:cnfStyle w:val="000000000000" w:firstRow="0" w:lastRow="0" w:firstColumn="0" w:lastColumn="0" w:oddVBand="0" w:evenVBand="0" w:oddHBand="0" w:evenHBand="0" w:firstRowFirstColumn="0" w:firstRowLastColumn="0" w:lastRowFirstColumn="0" w:lastRowLastColumn="0"/>
              <w:rPr>
                <w:sz w:val="12"/>
                <w:szCs w:val="12"/>
              </w:rPr>
            </w:pPr>
          </w:p>
        </w:tc>
        <w:tc>
          <w:tcPr>
            <w:tcW w:w="709" w:type="dxa"/>
          </w:tcPr>
          <w:p w14:paraId="6C63AFF1" w14:textId="77777777" w:rsidR="00F16A45" w:rsidRPr="000F1F50" w:rsidRDefault="00F16A45" w:rsidP="00481903">
            <w:pPr>
              <w:pStyle w:val="TableText"/>
              <w:spacing w:line="240" w:lineRule="auto"/>
              <w:jc w:val="right"/>
              <w:cnfStyle w:val="000000000000" w:firstRow="0" w:lastRow="0" w:firstColumn="0" w:lastColumn="0" w:oddVBand="0" w:evenVBand="0" w:oddHBand="0" w:evenHBand="0" w:firstRowFirstColumn="0" w:firstRowLastColumn="0" w:lastRowFirstColumn="0" w:lastRowLastColumn="0"/>
              <w:rPr>
                <w:sz w:val="12"/>
                <w:szCs w:val="12"/>
              </w:rPr>
            </w:pPr>
          </w:p>
        </w:tc>
        <w:tc>
          <w:tcPr>
            <w:tcW w:w="425" w:type="dxa"/>
          </w:tcPr>
          <w:p w14:paraId="4761A97C" w14:textId="77777777" w:rsidR="00F16A45" w:rsidRPr="000F1F50" w:rsidRDefault="00F16A45" w:rsidP="00481903">
            <w:pPr>
              <w:pStyle w:val="TableText"/>
              <w:spacing w:line="240" w:lineRule="auto"/>
              <w:jc w:val="right"/>
              <w:cnfStyle w:val="000000000000" w:firstRow="0" w:lastRow="0" w:firstColumn="0" w:lastColumn="0" w:oddVBand="0" w:evenVBand="0" w:oddHBand="0" w:evenHBand="0" w:firstRowFirstColumn="0" w:firstRowLastColumn="0" w:lastRowFirstColumn="0" w:lastRowLastColumn="0"/>
              <w:rPr>
                <w:sz w:val="12"/>
                <w:szCs w:val="12"/>
              </w:rPr>
            </w:pPr>
          </w:p>
        </w:tc>
        <w:tc>
          <w:tcPr>
            <w:tcW w:w="709" w:type="dxa"/>
          </w:tcPr>
          <w:p w14:paraId="08AFDA7C" w14:textId="77777777" w:rsidR="00F16A45" w:rsidRPr="000F1F50" w:rsidRDefault="00F16A45" w:rsidP="00481903">
            <w:pPr>
              <w:pStyle w:val="TableText"/>
              <w:spacing w:line="240" w:lineRule="auto"/>
              <w:jc w:val="right"/>
              <w:cnfStyle w:val="000000000000" w:firstRow="0" w:lastRow="0" w:firstColumn="0" w:lastColumn="0" w:oddVBand="0" w:evenVBand="0" w:oddHBand="0" w:evenHBand="0" w:firstRowFirstColumn="0" w:firstRowLastColumn="0" w:lastRowFirstColumn="0" w:lastRowLastColumn="0"/>
              <w:rPr>
                <w:sz w:val="12"/>
                <w:szCs w:val="12"/>
              </w:rPr>
            </w:pPr>
          </w:p>
        </w:tc>
        <w:tc>
          <w:tcPr>
            <w:tcW w:w="567" w:type="dxa"/>
          </w:tcPr>
          <w:p w14:paraId="5D5D71C1" w14:textId="77777777" w:rsidR="00F16A45" w:rsidRPr="000F1F50" w:rsidRDefault="00F16A45" w:rsidP="00481903">
            <w:pPr>
              <w:pStyle w:val="TableText"/>
              <w:spacing w:line="240" w:lineRule="auto"/>
              <w:jc w:val="right"/>
              <w:cnfStyle w:val="000000000000" w:firstRow="0" w:lastRow="0" w:firstColumn="0" w:lastColumn="0" w:oddVBand="0" w:evenVBand="0" w:oddHBand="0" w:evenHBand="0" w:firstRowFirstColumn="0" w:firstRowLastColumn="0" w:lastRowFirstColumn="0" w:lastRowLastColumn="0"/>
              <w:rPr>
                <w:sz w:val="12"/>
                <w:szCs w:val="12"/>
              </w:rPr>
            </w:pPr>
          </w:p>
        </w:tc>
        <w:tc>
          <w:tcPr>
            <w:tcW w:w="709" w:type="dxa"/>
          </w:tcPr>
          <w:p w14:paraId="64E1E77B" w14:textId="77777777" w:rsidR="00F16A45" w:rsidRPr="000F1F50" w:rsidRDefault="00F16A45" w:rsidP="00481903">
            <w:pPr>
              <w:pStyle w:val="TableText"/>
              <w:spacing w:line="240" w:lineRule="auto"/>
              <w:jc w:val="right"/>
              <w:cnfStyle w:val="000000000000" w:firstRow="0" w:lastRow="0" w:firstColumn="0" w:lastColumn="0" w:oddVBand="0" w:evenVBand="0" w:oddHBand="0" w:evenHBand="0" w:firstRowFirstColumn="0" w:firstRowLastColumn="0" w:lastRowFirstColumn="0" w:lastRowLastColumn="0"/>
              <w:rPr>
                <w:sz w:val="12"/>
                <w:szCs w:val="12"/>
              </w:rPr>
            </w:pPr>
          </w:p>
        </w:tc>
        <w:tc>
          <w:tcPr>
            <w:tcW w:w="567" w:type="dxa"/>
            <w:tcBorders>
              <w:right w:val="single" w:sz="4" w:space="0" w:color="auto"/>
            </w:tcBorders>
          </w:tcPr>
          <w:p w14:paraId="497A48E0" w14:textId="77777777" w:rsidR="00F16A45" w:rsidRPr="000F1F50" w:rsidRDefault="00F16A45" w:rsidP="00481903">
            <w:pPr>
              <w:pStyle w:val="TableText"/>
              <w:spacing w:line="240" w:lineRule="auto"/>
              <w:jc w:val="right"/>
              <w:cnfStyle w:val="000000000000" w:firstRow="0" w:lastRow="0" w:firstColumn="0" w:lastColumn="0" w:oddVBand="0" w:evenVBand="0" w:oddHBand="0" w:evenHBand="0" w:firstRowFirstColumn="0" w:firstRowLastColumn="0" w:lastRowFirstColumn="0" w:lastRowLastColumn="0"/>
              <w:rPr>
                <w:sz w:val="12"/>
                <w:szCs w:val="12"/>
              </w:rPr>
            </w:pPr>
          </w:p>
        </w:tc>
        <w:tc>
          <w:tcPr>
            <w:tcW w:w="662" w:type="dxa"/>
            <w:tcBorders>
              <w:left w:val="single" w:sz="4" w:space="0" w:color="auto"/>
            </w:tcBorders>
          </w:tcPr>
          <w:p w14:paraId="734AA87E" w14:textId="77777777" w:rsidR="00F16A45" w:rsidRPr="000F1F50" w:rsidRDefault="00F16A45" w:rsidP="00481903">
            <w:pPr>
              <w:pStyle w:val="TableText"/>
              <w:spacing w:line="240" w:lineRule="auto"/>
              <w:jc w:val="right"/>
              <w:cnfStyle w:val="000000000000" w:firstRow="0" w:lastRow="0" w:firstColumn="0" w:lastColumn="0" w:oddVBand="0" w:evenVBand="0" w:oddHBand="0" w:evenHBand="0" w:firstRowFirstColumn="0" w:firstRowLastColumn="0" w:lastRowFirstColumn="0" w:lastRowLastColumn="0"/>
              <w:rPr>
                <w:sz w:val="12"/>
                <w:szCs w:val="12"/>
              </w:rPr>
            </w:pPr>
          </w:p>
        </w:tc>
        <w:tc>
          <w:tcPr>
            <w:tcW w:w="425" w:type="dxa"/>
          </w:tcPr>
          <w:p w14:paraId="122ED1ED" w14:textId="77777777" w:rsidR="00F16A45" w:rsidRPr="000F1F50" w:rsidRDefault="00F16A45" w:rsidP="00481903">
            <w:pPr>
              <w:pStyle w:val="TableText"/>
              <w:spacing w:line="240" w:lineRule="auto"/>
              <w:jc w:val="right"/>
              <w:cnfStyle w:val="000000000000" w:firstRow="0" w:lastRow="0" w:firstColumn="0" w:lastColumn="0" w:oddVBand="0" w:evenVBand="0" w:oddHBand="0" w:evenHBand="0" w:firstRowFirstColumn="0" w:firstRowLastColumn="0" w:lastRowFirstColumn="0" w:lastRowLastColumn="0"/>
              <w:rPr>
                <w:sz w:val="12"/>
                <w:szCs w:val="12"/>
              </w:rPr>
            </w:pPr>
          </w:p>
        </w:tc>
        <w:tc>
          <w:tcPr>
            <w:tcW w:w="755" w:type="dxa"/>
          </w:tcPr>
          <w:p w14:paraId="29383728" w14:textId="77777777" w:rsidR="00F16A45" w:rsidRPr="000F1F50" w:rsidRDefault="00F16A45" w:rsidP="00481903">
            <w:pPr>
              <w:pStyle w:val="TableText"/>
              <w:spacing w:line="240" w:lineRule="auto"/>
              <w:jc w:val="right"/>
              <w:cnfStyle w:val="000000000000" w:firstRow="0" w:lastRow="0" w:firstColumn="0" w:lastColumn="0" w:oddVBand="0" w:evenVBand="0" w:oddHBand="0" w:evenHBand="0" w:firstRowFirstColumn="0" w:firstRowLastColumn="0" w:lastRowFirstColumn="0" w:lastRowLastColumn="0"/>
              <w:rPr>
                <w:sz w:val="12"/>
                <w:szCs w:val="12"/>
              </w:rPr>
            </w:pPr>
          </w:p>
        </w:tc>
        <w:tc>
          <w:tcPr>
            <w:tcW w:w="425" w:type="dxa"/>
          </w:tcPr>
          <w:p w14:paraId="6CA8CD00" w14:textId="77777777" w:rsidR="00F16A45" w:rsidRPr="000F1F50" w:rsidRDefault="00F16A45" w:rsidP="00481903">
            <w:pPr>
              <w:pStyle w:val="TableText"/>
              <w:spacing w:line="240" w:lineRule="auto"/>
              <w:jc w:val="right"/>
              <w:cnfStyle w:val="000000000000" w:firstRow="0" w:lastRow="0" w:firstColumn="0" w:lastColumn="0" w:oddVBand="0" w:evenVBand="0" w:oddHBand="0" w:evenHBand="0" w:firstRowFirstColumn="0" w:firstRowLastColumn="0" w:lastRowFirstColumn="0" w:lastRowLastColumn="0"/>
              <w:rPr>
                <w:sz w:val="12"/>
                <w:szCs w:val="12"/>
              </w:rPr>
            </w:pPr>
          </w:p>
        </w:tc>
        <w:tc>
          <w:tcPr>
            <w:tcW w:w="709" w:type="dxa"/>
          </w:tcPr>
          <w:p w14:paraId="22CD602E" w14:textId="77777777" w:rsidR="00F16A45" w:rsidRPr="000F1F50" w:rsidRDefault="00F16A45" w:rsidP="00481903">
            <w:pPr>
              <w:pStyle w:val="TableText"/>
              <w:spacing w:line="240" w:lineRule="auto"/>
              <w:jc w:val="right"/>
              <w:cnfStyle w:val="000000000000" w:firstRow="0" w:lastRow="0" w:firstColumn="0" w:lastColumn="0" w:oddVBand="0" w:evenVBand="0" w:oddHBand="0" w:evenHBand="0" w:firstRowFirstColumn="0" w:firstRowLastColumn="0" w:lastRowFirstColumn="0" w:lastRowLastColumn="0"/>
              <w:rPr>
                <w:sz w:val="12"/>
                <w:szCs w:val="12"/>
              </w:rPr>
            </w:pPr>
          </w:p>
        </w:tc>
        <w:tc>
          <w:tcPr>
            <w:tcW w:w="567" w:type="dxa"/>
          </w:tcPr>
          <w:p w14:paraId="3BEF7CD5" w14:textId="77777777" w:rsidR="00F16A45" w:rsidRPr="000F1F50" w:rsidRDefault="00F16A45" w:rsidP="00481903">
            <w:pPr>
              <w:pStyle w:val="TableText"/>
              <w:spacing w:line="240" w:lineRule="auto"/>
              <w:jc w:val="right"/>
              <w:cnfStyle w:val="000000000000" w:firstRow="0" w:lastRow="0" w:firstColumn="0" w:lastColumn="0" w:oddVBand="0" w:evenVBand="0" w:oddHBand="0" w:evenHBand="0" w:firstRowFirstColumn="0" w:firstRowLastColumn="0" w:lastRowFirstColumn="0" w:lastRowLastColumn="0"/>
              <w:rPr>
                <w:sz w:val="12"/>
                <w:szCs w:val="12"/>
              </w:rPr>
            </w:pPr>
          </w:p>
        </w:tc>
        <w:tc>
          <w:tcPr>
            <w:tcW w:w="709" w:type="dxa"/>
          </w:tcPr>
          <w:p w14:paraId="6D94D317" w14:textId="77777777" w:rsidR="00F16A45" w:rsidRPr="000F1F50" w:rsidRDefault="00F16A45" w:rsidP="00481903">
            <w:pPr>
              <w:pStyle w:val="TableText"/>
              <w:spacing w:line="240" w:lineRule="auto"/>
              <w:jc w:val="right"/>
              <w:cnfStyle w:val="000000000000" w:firstRow="0" w:lastRow="0" w:firstColumn="0" w:lastColumn="0" w:oddVBand="0" w:evenVBand="0" w:oddHBand="0" w:evenHBand="0" w:firstRowFirstColumn="0" w:firstRowLastColumn="0" w:lastRowFirstColumn="0" w:lastRowLastColumn="0"/>
              <w:rPr>
                <w:sz w:val="12"/>
                <w:szCs w:val="12"/>
              </w:rPr>
            </w:pPr>
          </w:p>
        </w:tc>
        <w:tc>
          <w:tcPr>
            <w:tcW w:w="548" w:type="dxa"/>
            <w:tcBorders>
              <w:right w:val="single" w:sz="4" w:space="0" w:color="auto"/>
            </w:tcBorders>
          </w:tcPr>
          <w:p w14:paraId="0172FFC9" w14:textId="77777777" w:rsidR="00F16A45" w:rsidRPr="000F1F50" w:rsidRDefault="00F16A45" w:rsidP="00481903">
            <w:pPr>
              <w:pStyle w:val="TableText"/>
              <w:spacing w:line="240" w:lineRule="auto"/>
              <w:jc w:val="right"/>
              <w:cnfStyle w:val="000000000000" w:firstRow="0" w:lastRow="0" w:firstColumn="0" w:lastColumn="0" w:oddVBand="0" w:evenVBand="0" w:oddHBand="0" w:evenHBand="0" w:firstRowFirstColumn="0" w:firstRowLastColumn="0" w:lastRowFirstColumn="0" w:lastRowLastColumn="0"/>
              <w:rPr>
                <w:sz w:val="12"/>
                <w:szCs w:val="12"/>
              </w:rPr>
            </w:pPr>
          </w:p>
        </w:tc>
        <w:tc>
          <w:tcPr>
            <w:tcW w:w="823" w:type="dxa"/>
            <w:tcBorders>
              <w:left w:val="single" w:sz="4" w:space="0" w:color="auto"/>
            </w:tcBorders>
          </w:tcPr>
          <w:p w14:paraId="33CB812F" w14:textId="77777777" w:rsidR="00F16A45" w:rsidRPr="000F1F50" w:rsidRDefault="00F16A45" w:rsidP="00481903">
            <w:pPr>
              <w:pStyle w:val="TableText"/>
              <w:spacing w:line="240" w:lineRule="auto"/>
              <w:jc w:val="right"/>
              <w:cnfStyle w:val="000000000000" w:firstRow="0" w:lastRow="0" w:firstColumn="0" w:lastColumn="0" w:oddVBand="0" w:evenVBand="0" w:oddHBand="0" w:evenHBand="0" w:firstRowFirstColumn="0" w:firstRowLastColumn="0" w:lastRowFirstColumn="0" w:lastRowLastColumn="0"/>
              <w:rPr>
                <w:sz w:val="12"/>
                <w:szCs w:val="12"/>
              </w:rPr>
            </w:pPr>
          </w:p>
        </w:tc>
        <w:tc>
          <w:tcPr>
            <w:tcW w:w="851" w:type="dxa"/>
          </w:tcPr>
          <w:p w14:paraId="2127C6A3" w14:textId="77777777" w:rsidR="00F16A45" w:rsidRPr="000F1F50" w:rsidRDefault="00F16A45" w:rsidP="00481903">
            <w:pPr>
              <w:pStyle w:val="TableText"/>
              <w:spacing w:line="240" w:lineRule="auto"/>
              <w:jc w:val="right"/>
              <w:cnfStyle w:val="000000000000" w:firstRow="0" w:lastRow="0" w:firstColumn="0" w:lastColumn="0" w:oddVBand="0" w:evenVBand="0" w:oddHBand="0" w:evenHBand="0" w:firstRowFirstColumn="0" w:firstRowLastColumn="0" w:lastRowFirstColumn="0" w:lastRowLastColumn="0"/>
              <w:rPr>
                <w:sz w:val="12"/>
                <w:szCs w:val="12"/>
              </w:rPr>
            </w:pPr>
          </w:p>
        </w:tc>
        <w:tc>
          <w:tcPr>
            <w:tcW w:w="1276" w:type="dxa"/>
          </w:tcPr>
          <w:p w14:paraId="0DFC2309" w14:textId="77777777" w:rsidR="00F16A45" w:rsidRPr="000F1F50" w:rsidRDefault="00F16A45" w:rsidP="00481903">
            <w:pPr>
              <w:pStyle w:val="TableText"/>
              <w:spacing w:line="240" w:lineRule="auto"/>
              <w:jc w:val="right"/>
              <w:cnfStyle w:val="000000000000" w:firstRow="0" w:lastRow="0" w:firstColumn="0" w:lastColumn="0" w:oddVBand="0" w:evenVBand="0" w:oddHBand="0" w:evenHBand="0" w:firstRowFirstColumn="0" w:firstRowLastColumn="0" w:lastRowFirstColumn="0" w:lastRowLastColumn="0"/>
              <w:rPr>
                <w:sz w:val="12"/>
                <w:szCs w:val="12"/>
              </w:rPr>
            </w:pPr>
          </w:p>
        </w:tc>
        <w:tc>
          <w:tcPr>
            <w:tcW w:w="1038" w:type="dxa"/>
          </w:tcPr>
          <w:p w14:paraId="1CD8DADD" w14:textId="77777777" w:rsidR="00F16A45" w:rsidRPr="000F1F50" w:rsidRDefault="00F16A45" w:rsidP="00481903">
            <w:pPr>
              <w:pStyle w:val="TableText"/>
              <w:spacing w:line="240" w:lineRule="auto"/>
              <w:jc w:val="right"/>
              <w:cnfStyle w:val="000000000000" w:firstRow="0" w:lastRow="0" w:firstColumn="0" w:lastColumn="0" w:oddVBand="0" w:evenVBand="0" w:oddHBand="0" w:evenHBand="0" w:firstRowFirstColumn="0" w:firstRowLastColumn="0" w:lastRowFirstColumn="0" w:lastRowLastColumn="0"/>
              <w:rPr>
                <w:sz w:val="12"/>
                <w:szCs w:val="12"/>
              </w:rPr>
            </w:pPr>
          </w:p>
        </w:tc>
      </w:tr>
      <w:tr w:rsidR="0088420A" w:rsidRPr="000F1F50" w14:paraId="2F9A315C" w14:textId="77777777" w:rsidTr="008842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 w:type="dxa"/>
          </w:tcPr>
          <w:p w14:paraId="0817778A" w14:textId="77777777" w:rsidR="00F16A45" w:rsidRPr="000F1F50" w:rsidRDefault="00F16A45" w:rsidP="00F16A45">
            <w:pPr>
              <w:pStyle w:val="TableText"/>
              <w:spacing w:line="240" w:lineRule="auto"/>
              <w:rPr>
                <w:sz w:val="12"/>
                <w:szCs w:val="12"/>
              </w:rPr>
            </w:pPr>
          </w:p>
        </w:tc>
        <w:tc>
          <w:tcPr>
            <w:tcW w:w="756" w:type="dxa"/>
            <w:tcBorders>
              <w:right w:val="single" w:sz="4" w:space="0" w:color="auto"/>
            </w:tcBorders>
          </w:tcPr>
          <w:p w14:paraId="0751AD79" w14:textId="43262BE0" w:rsidR="00F16A45" w:rsidRPr="000F1F50" w:rsidRDefault="00F16A45" w:rsidP="00F16A45">
            <w:pPr>
              <w:pStyle w:val="TableText"/>
              <w:spacing w:line="240" w:lineRule="auto"/>
              <w:cnfStyle w:val="000000100000" w:firstRow="0" w:lastRow="0" w:firstColumn="0" w:lastColumn="0" w:oddVBand="0" w:evenVBand="0" w:oddHBand="1" w:evenHBand="0" w:firstRowFirstColumn="0" w:firstRowLastColumn="0" w:lastRowFirstColumn="0" w:lastRowLastColumn="0"/>
              <w:rPr>
                <w:sz w:val="12"/>
                <w:szCs w:val="12"/>
              </w:rPr>
            </w:pPr>
            <w:r w:rsidRPr="000F1F50">
              <w:rPr>
                <w:sz w:val="12"/>
                <w:szCs w:val="12"/>
              </w:rPr>
              <w:t>26/2/</w:t>
            </w:r>
            <w:r w:rsidR="00DE4991" w:rsidRPr="000F1F50">
              <w:rPr>
                <w:sz w:val="12"/>
                <w:szCs w:val="12"/>
              </w:rPr>
              <w:t>20</w:t>
            </w:r>
            <w:r w:rsidR="00DE4991">
              <w:rPr>
                <w:sz w:val="12"/>
                <w:szCs w:val="12"/>
              </w:rPr>
              <w:t>22</w:t>
            </w:r>
          </w:p>
        </w:tc>
        <w:tc>
          <w:tcPr>
            <w:tcW w:w="755" w:type="dxa"/>
            <w:tcBorders>
              <w:left w:val="single" w:sz="4" w:space="0" w:color="auto"/>
            </w:tcBorders>
          </w:tcPr>
          <w:p w14:paraId="6378A13E" w14:textId="77777777" w:rsidR="00F16A45" w:rsidRPr="000F1F50" w:rsidRDefault="00F16A45" w:rsidP="00481903">
            <w:pPr>
              <w:pStyle w:val="TableText"/>
              <w:spacing w:line="240" w:lineRule="auto"/>
              <w:jc w:val="right"/>
              <w:cnfStyle w:val="000000100000" w:firstRow="0" w:lastRow="0" w:firstColumn="0" w:lastColumn="0" w:oddVBand="0" w:evenVBand="0" w:oddHBand="1" w:evenHBand="0" w:firstRowFirstColumn="0" w:firstRowLastColumn="0" w:lastRowFirstColumn="0" w:lastRowLastColumn="0"/>
              <w:rPr>
                <w:sz w:val="12"/>
                <w:szCs w:val="12"/>
              </w:rPr>
            </w:pPr>
          </w:p>
        </w:tc>
        <w:tc>
          <w:tcPr>
            <w:tcW w:w="425" w:type="dxa"/>
          </w:tcPr>
          <w:p w14:paraId="25CEC0C2" w14:textId="77777777" w:rsidR="00F16A45" w:rsidRPr="000F1F50" w:rsidRDefault="00F16A45" w:rsidP="00481903">
            <w:pPr>
              <w:pStyle w:val="TableText"/>
              <w:spacing w:line="240" w:lineRule="auto"/>
              <w:jc w:val="right"/>
              <w:cnfStyle w:val="000000100000" w:firstRow="0" w:lastRow="0" w:firstColumn="0" w:lastColumn="0" w:oddVBand="0" w:evenVBand="0" w:oddHBand="1" w:evenHBand="0" w:firstRowFirstColumn="0" w:firstRowLastColumn="0" w:lastRowFirstColumn="0" w:lastRowLastColumn="0"/>
              <w:rPr>
                <w:sz w:val="12"/>
                <w:szCs w:val="12"/>
              </w:rPr>
            </w:pPr>
          </w:p>
        </w:tc>
        <w:tc>
          <w:tcPr>
            <w:tcW w:w="709" w:type="dxa"/>
          </w:tcPr>
          <w:p w14:paraId="07C5A846" w14:textId="77777777" w:rsidR="00F16A45" w:rsidRPr="000F1F50" w:rsidRDefault="00F16A45" w:rsidP="00481903">
            <w:pPr>
              <w:pStyle w:val="TableText"/>
              <w:spacing w:line="240" w:lineRule="auto"/>
              <w:jc w:val="right"/>
              <w:cnfStyle w:val="000000100000" w:firstRow="0" w:lastRow="0" w:firstColumn="0" w:lastColumn="0" w:oddVBand="0" w:evenVBand="0" w:oddHBand="1" w:evenHBand="0" w:firstRowFirstColumn="0" w:firstRowLastColumn="0" w:lastRowFirstColumn="0" w:lastRowLastColumn="0"/>
              <w:rPr>
                <w:sz w:val="12"/>
                <w:szCs w:val="12"/>
              </w:rPr>
            </w:pPr>
          </w:p>
        </w:tc>
        <w:tc>
          <w:tcPr>
            <w:tcW w:w="425" w:type="dxa"/>
          </w:tcPr>
          <w:p w14:paraId="44D53815" w14:textId="77777777" w:rsidR="00F16A45" w:rsidRPr="000F1F50" w:rsidRDefault="00F16A45" w:rsidP="00481903">
            <w:pPr>
              <w:pStyle w:val="TableText"/>
              <w:spacing w:line="240" w:lineRule="auto"/>
              <w:jc w:val="right"/>
              <w:cnfStyle w:val="000000100000" w:firstRow="0" w:lastRow="0" w:firstColumn="0" w:lastColumn="0" w:oddVBand="0" w:evenVBand="0" w:oddHBand="1" w:evenHBand="0" w:firstRowFirstColumn="0" w:firstRowLastColumn="0" w:lastRowFirstColumn="0" w:lastRowLastColumn="0"/>
              <w:rPr>
                <w:sz w:val="12"/>
                <w:szCs w:val="12"/>
              </w:rPr>
            </w:pPr>
          </w:p>
        </w:tc>
        <w:tc>
          <w:tcPr>
            <w:tcW w:w="709" w:type="dxa"/>
          </w:tcPr>
          <w:p w14:paraId="42D54F60" w14:textId="77777777" w:rsidR="00F16A45" w:rsidRPr="000F1F50" w:rsidRDefault="00F16A45" w:rsidP="00481903">
            <w:pPr>
              <w:pStyle w:val="TableText"/>
              <w:spacing w:line="240" w:lineRule="auto"/>
              <w:jc w:val="right"/>
              <w:cnfStyle w:val="000000100000" w:firstRow="0" w:lastRow="0" w:firstColumn="0" w:lastColumn="0" w:oddVBand="0" w:evenVBand="0" w:oddHBand="1" w:evenHBand="0" w:firstRowFirstColumn="0" w:firstRowLastColumn="0" w:lastRowFirstColumn="0" w:lastRowLastColumn="0"/>
              <w:rPr>
                <w:sz w:val="12"/>
                <w:szCs w:val="12"/>
              </w:rPr>
            </w:pPr>
          </w:p>
        </w:tc>
        <w:tc>
          <w:tcPr>
            <w:tcW w:w="567" w:type="dxa"/>
          </w:tcPr>
          <w:p w14:paraId="0C52F63C" w14:textId="77777777" w:rsidR="00F16A45" w:rsidRPr="000F1F50" w:rsidRDefault="00F16A45" w:rsidP="00481903">
            <w:pPr>
              <w:pStyle w:val="TableText"/>
              <w:spacing w:line="240" w:lineRule="auto"/>
              <w:jc w:val="right"/>
              <w:cnfStyle w:val="000000100000" w:firstRow="0" w:lastRow="0" w:firstColumn="0" w:lastColumn="0" w:oddVBand="0" w:evenVBand="0" w:oddHBand="1" w:evenHBand="0" w:firstRowFirstColumn="0" w:firstRowLastColumn="0" w:lastRowFirstColumn="0" w:lastRowLastColumn="0"/>
              <w:rPr>
                <w:sz w:val="12"/>
                <w:szCs w:val="12"/>
              </w:rPr>
            </w:pPr>
          </w:p>
        </w:tc>
        <w:tc>
          <w:tcPr>
            <w:tcW w:w="709" w:type="dxa"/>
          </w:tcPr>
          <w:p w14:paraId="65BD25E6" w14:textId="77777777" w:rsidR="00F16A45" w:rsidRPr="000F1F50" w:rsidRDefault="00F16A45" w:rsidP="00481903">
            <w:pPr>
              <w:pStyle w:val="TableText"/>
              <w:spacing w:line="240" w:lineRule="auto"/>
              <w:jc w:val="right"/>
              <w:cnfStyle w:val="000000100000" w:firstRow="0" w:lastRow="0" w:firstColumn="0" w:lastColumn="0" w:oddVBand="0" w:evenVBand="0" w:oddHBand="1" w:evenHBand="0" w:firstRowFirstColumn="0" w:firstRowLastColumn="0" w:lastRowFirstColumn="0" w:lastRowLastColumn="0"/>
              <w:rPr>
                <w:sz w:val="12"/>
                <w:szCs w:val="12"/>
              </w:rPr>
            </w:pPr>
          </w:p>
        </w:tc>
        <w:tc>
          <w:tcPr>
            <w:tcW w:w="567" w:type="dxa"/>
            <w:tcBorders>
              <w:right w:val="single" w:sz="4" w:space="0" w:color="auto"/>
            </w:tcBorders>
          </w:tcPr>
          <w:p w14:paraId="2463DB0C" w14:textId="77777777" w:rsidR="00F16A45" w:rsidRPr="000F1F50" w:rsidRDefault="00F16A45" w:rsidP="00481903">
            <w:pPr>
              <w:pStyle w:val="TableText"/>
              <w:spacing w:line="240" w:lineRule="auto"/>
              <w:jc w:val="right"/>
              <w:cnfStyle w:val="000000100000" w:firstRow="0" w:lastRow="0" w:firstColumn="0" w:lastColumn="0" w:oddVBand="0" w:evenVBand="0" w:oddHBand="1" w:evenHBand="0" w:firstRowFirstColumn="0" w:firstRowLastColumn="0" w:lastRowFirstColumn="0" w:lastRowLastColumn="0"/>
              <w:rPr>
                <w:sz w:val="12"/>
                <w:szCs w:val="12"/>
              </w:rPr>
            </w:pPr>
          </w:p>
        </w:tc>
        <w:tc>
          <w:tcPr>
            <w:tcW w:w="662" w:type="dxa"/>
            <w:tcBorders>
              <w:left w:val="single" w:sz="4" w:space="0" w:color="auto"/>
            </w:tcBorders>
          </w:tcPr>
          <w:p w14:paraId="25D723D1" w14:textId="77777777" w:rsidR="00F16A45" w:rsidRPr="000F1F50" w:rsidRDefault="00F16A45" w:rsidP="00481903">
            <w:pPr>
              <w:pStyle w:val="TableText"/>
              <w:spacing w:line="240" w:lineRule="auto"/>
              <w:jc w:val="right"/>
              <w:cnfStyle w:val="000000100000" w:firstRow="0" w:lastRow="0" w:firstColumn="0" w:lastColumn="0" w:oddVBand="0" w:evenVBand="0" w:oddHBand="1" w:evenHBand="0" w:firstRowFirstColumn="0" w:firstRowLastColumn="0" w:lastRowFirstColumn="0" w:lastRowLastColumn="0"/>
              <w:rPr>
                <w:sz w:val="12"/>
                <w:szCs w:val="12"/>
              </w:rPr>
            </w:pPr>
          </w:p>
        </w:tc>
        <w:tc>
          <w:tcPr>
            <w:tcW w:w="425" w:type="dxa"/>
          </w:tcPr>
          <w:p w14:paraId="4985D534" w14:textId="77777777" w:rsidR="00F16A45" w:rsidRPr="000F1F50" w:rsidRDefault="00F16A45" w:rsidP="00481903">
            <w:pPr>
              <w:pStyle w:val="TableText"/>
              <w:spacing w:line="240" w:lineRule="auto"/>
              <w:jc w:val="right"/>
              <w:cnfStyle w:val="000000100000" w:firstRow="0" w:lastRow="0" w:firstColumn="0" w:lastColumn="0" w:oddVBand="0" w:evenVBand="0" w:oddHBand="1" w:evenHBand="0" w:firstRowFirstColumn="0" w:firstRowLastColumn="0" w:lastRowFirstColumn="0" w:lastRowLastColumn="0"/>
              <w:rPr>
                <w:sz w:val="12"/>
                <w:szCs w:val="12"/>
              </w:rPr>
            </w:pPr>
          </w:p>
        </w:tc>
        <w:tc>
          <w:tcPr>
            <w:tcW w:w="755" w:type="dxa"/>
          </w:tcPr>
          <w:p w14:paraId="2E510249" w14:textId="77777777" w:rsidR="00F16A45" w:rsidRPr="000F1F50" w:rsidRDefault="00F16A45" w:rsidP="00481903">
            <w:pPr>
              <w:pStyle w:val="TableText"/>
              <w:spacing w:line="240" w:lineRule="auto"/>
              <w:jc w:val="right"/>
              <w:cnfStyle w:val="000000100000" w:firstRow="0" w:lastRow="0" w:firstColumn="0" w:lastColumn="0" w:oddVBand="0" w:evenVBand="0" w:oddHBand="1" w:evenHBand="0" w:firstRowFirstColumn="0" w:firstRowLastColumn="0" w:lastRowFirstColumn="0" w:lastRowLastColumn="0"/>
              <w:rPr>
                <w:sz w:val="12"/>
                <w:szCs w:val="12"/>
              </w:rPr>
            </w:pPr>
          </w:p>
        </w:tc>
        <w:tc>
          <w:tcPr>
            <w:tcW w:w="425" w:type="dxa"/>
          </w:tcPr>
          <w:p w14:paraId="74D16E8D" w14:textId="77777777" w:rsidR="00F16A45" w:rsidRPr="000F1F50" w:rsidRDefault="00F16A45" w:rsidP="00481903">
            <w:pPr>
              <w:pStyle w:val="TableText"/>
              <w:spacing w:line="240" w:lineRule="auto"/>
              <w:jc w:val="right"/>
              <w:cnfStyle w:val="000000100000" w:firstRow="0" w:lastRow="0" w:firstColumn="0" w:lastColumn="0" w:oddVBand="0" w:evenVBand="0" w:oddHBand="1" w:evenHBand="0" w:firstRowFirstColumn="0" w:firstRowLastColumn="0" w:lastRowFirstColumn="0" w:lastRowLastColumn="0"/>
              <w:rPr>
                <w:sz w:val="12"/>
                <w:szCs w:val="12"/>
              </w:rPr>
            </w:pPr>
          </w:p>
        </w:tc>
        <w:tc>
          <w:tcPr>
            <w:tcW w:w="709" w:type="dxa"/>
          </w:tcPr>
          <w:p w14:paraId="218B14BB" w14:textId="77777777" w:rsidR="00F16A45" w:rsidRPr="000F1F50" w:rsidRDefault="00F16A45" w:rsidP="00481903">
            <w:pPr>
              <w:pStyle w:val="TableText"/>
              <w:spacing w:line="240" w:lineRule="auto"/>
              <w:jc w:val="right"/>
              <w:cnfStyle w:val="000000100000" w:firstRow="0" w:lastRow="0" w:firstColumn="0" w:lastColumn="0" w:oddVBand="0" w:evenVBand="0" w:oddHBand="1" w:evenHBand="0" w:firstRowFirstColumn="0" w:firstRowLastColumn="0" w:lastRowFirstColumn="0" w:lastRowLastColumn="0"/>
              <w:rPr>
                <w:sz w:val="12"/>
                <w:szCs w:val="12"/>
              </w:rPr>
            </w:pPr>
          </w:p>
        </w:tc>
        <w:tc>
          <w:tcPr>
            <w:tcW w:w="567" w:type="dxa"/>
          </w:tcPr>
          <w:p w14:paraId="6FA706FF" w14:textId="77777777" w:rsidR="00F16A45" w:rsidRPr="000F1F50" w:rsidRDefault="00F16A45" w:rsidP="00481903">
            <w:pPr>
              <w:pStyle w:val="TableText"/>
              <w:spacing w:line="240" w:lineRule="auto"/>
              <w:jc w:val="right"/>
              <w:cnfStyle w:val="000000100000" w:firstRow="0" w:lastRow="0" w:firstColumn="0" w:lastColumn="0" w:oddVBand="0" w:evenVBand="0" w:oddHBand="1" w:evenHBand="0" w:firstRowFirstColumn="0" w:firstRowLastColumn="0" w:lastRowFirstColumn="0" w:lastRowLastColumn="0"/>
              <w:rPr>
                <w:sz w:val="12"/>
                <w:szCs w:val="12"/>
              </w:rPr>
            </w:pPr>
          </w:p>
        </w:tc>
        <w:tc>
          <w:tcPr>
            <w:tcW w:w="709" w:type="dxa"/>
          </w:tcPr>
          <w:p w14:paraId="75C46642" w14:textId="77777777" w:rsidR="00F16A45" w:rsidRPr="000F1F50" w:rsidRDefault="00F16A45" w:rsidP="00481903">
            <w:pPr>
              <w:pStyle w:val="TableText"/>
              <w:spacing w:line="240" w:lineRule="auto"/>
              <w:jc w:val="right"/>
              <w:cnfStyle w:val="000000100000" w:firstRow="0" w:lastRow="0" w:firstColumn="0" w:lastColumn="0" w:oddVBand="0" w:evenVBand="0" w:oddHBand="1" w:evenHBand="0" w:firstRowFirstColumn="0" w:firstRowLastColumn="0" w:lastRowFirstColumn="0" w:lastRowLastColumn="0"/>
              <w:rPr>
                <w:sz w:val="12"/>
                <w:szCs w:val="12"/>
              </w:rPr>
            </w:pPr>
          </w:p>
        </w:tc>
        <w:tc>
          <w:tcPr>
            <w:tcW w:w="548" w:type="dxa"/>
            <w:tcBorders>
              <w:right w:val="single" w:sz="4" w:space="0" w:color="auto"/>
            </w:tcBorders>
          </w:tcPr>
          <w:p w14:paraId="0A93FB79" w14:textId="77777777" w:rsidR="00F16A45" w:rsidRPr="000F1F50" w:rsidRDefault="00F16A45" w:rsidP="00481903">
            <w:pPr>
              <w:pStyle w:val="TableText"/>
              <w:spacing w:line="240" w:lineRule="auto"/>
              <w:jc w:val="right"/>
              <w:cnfStyle w:val="000000100000" w:firstRow="0" w:lastRow="0" w:firstColumn="0" w:lastColumn="0" w:oddVBand="0" w:evenVBand="0" w:oddHBand="1" w:evenHBand="0" w:firstRowFirstColumn="0" w:firstRowLastColumn="0" w:lastRowFirstColumn="0" w:lastRowLastColumn="0"/>
              <w:rPr>
                <w:sz w:val="12"/>
                <w:szCs w:val="12"/>
              </w:rPr>
            </w:pPr>
          </w:p>
        </w:tc>
        <w:tc>
          <w:tcPr>
            <w:tcW w:w="823" w:type="dxa"/>
            <w:tcBorders>
              <w:left w:val="single" w:sz="4" w:space="0" w:color="auto"/>
            </w:tcBorders>
          </w:tcPr>
          <w:p w14:paraId="6A23106B" w14:textId="77777777" w:rsidR="00F16A45" w:rsidRPr="000F1F50" w:rsidRDefault="00F16A45" w:rsidP="00481903">
            <w:pPr>
              <w:pStyle w:val="TableText"/>
              <w:spacing w:line="240" w:lineRule="auto"/>
              <w:jc w:val="right"/>
              <w:cnfStyle w:val="000000100000" w:firstRow="0" w:lastRow="0" w:firstColumn="0" w:lastColumn="0" w:oddVBand="0" w:evenVBand="0" w:oddHBand="1" w:evenHBand="0" w:firstRowFirstColumn="0" w:firstRowLastColumn="0" w:lastRowFirstColumn="0" w:lastRowLastColumn="0"/>
              <w:rPr>
                <w:sz w:val="12"/>
                <w:szCs w:val="12"/>
              </w:rPr>
            </w:pPr>
          </w:p>
        </w:tc>
        <w:tc>
          <w:tcPr>
            <w:tcW w:w="851" w:type="dxa"/>
          </w:tcPr>
          <w:p w14:paraId="5E39D34D" w14:textId="77777777" w:rsidR="00F16A45" w:rsidRPr="000F1F50" w:rsidRDefault="00F16A45" w:rsidP="00481903">
            <w:pPr>
              <w:pStyle w:val="TableText"/>
              <w:spacing w:line="240" w:lineRule="auto"/>
              <w:jc w:val="right"/>
              <w:cnfStyle w:val="000000100000" w:firstRow="0" w:lastRow="0" w:firstColumn="0" w:lastColumn="0" w:oddVBand="0" w:evenVBand="0" w:oddHBand="1" w:evenHBand="0" w:firstRowFirstColumn="0" w:firstRowLastColumn="0" w:lastRowFirstColumn="0" w:lastRowLastColumn="0"/>
              <w:rPr>
                <w:sz w:val="12"/>
                <w:szCs w:val="12"/>
              </w:rPr>
            </w:pPr>
          </w:p>
        </w:tc>
        <w:tc>
          <w:tcPr>
            <w:tcW w:w="1276" w:type="dxa"/>
          </w:tcPr>
          <w:p w14:paraId="6B6C2988" w14:textId="77777777" w:rsidR="00F16A45" w:rsidRPr="000F1F50" w:rsidRDefault="00F16A45" w:rsidP="00481903">
            <w:pPr>
              <w:pStyle w:val="TableText"/>
              <w:spacing w:line="240" w:lineRule="auto"/>
              <w:jc w:val="right"/>
              <w:cnfStyle w:val="000000100000" w:firstRow="0" w:lastRow="0" w:firstColumn="0" w:lastColumn="0" w:oddVBand="0" w:evenVBand="0" w:oddHBand="1" w:evenHBand="0" w:firstRowFirstColumn="0" w:firstRowLastColumn="0" w:lastRowFirstColumn="0" w:lastRowLastColumn="0"/>
              <w:rPr>
                <w:sz w:val="12"/>
                <w:szCs w:val="12"/>
              </w:rPr>
            </w:pPr>
          </w:p>
        </w:tc>
        <w:tc>
          <w:tcPr>
            <w:tcW w:w="1038" w:type="dxa"/>
          </w:tcPr>
          <w:p w14:paraId="2F822A36" w14:textId="77777777" w:rsidR="00F16A45" w:rsidRPr="000F1F50" w:rsidRDefault="00F16A45" w:rsidP="00481903">
            <w:pPr>
              <w:pStyle w:val="TableText"/>
              <w:spacing w:line="240" w:lineRule="auto"/>
              <w:jc w:val="right"/>
              <w:cnfStyle w:val="000000100000" w:firstRow="0" w:lastRow="0" w:firstColumn="0" w:lastColumn="0" w:oddVBand="0" w:evenVBand="0" w:oddHBand="1" w:evenHBand="0" w:firstRowFirstColumn="0" w:firstRowLastColumn="0" w:lastRowFirstColumn="0" w:lastRowLastColumn="0"/>
              <w:rPr>
                <w:sz w:val="12"/>
                <w:szCs w:val="12"/>
              </w:rPr>
            </w:pPr>
          </w:p>
        </w:tc>
      </w:tr>
      <w:tr w:rsidR="0088420A" w:rsidRPr="000F1F50" w14:paraId="1A135A9F" w14:textId="77777777" w:rsidTr="0088420A">
        <w:tc>
          <w:tcPr>
            <w:cnfStyle w:val="001000000000" w:firstRow="0" w:lastRow="0" w:firstColumn="1" w:lastColumn="0" w:oddVBand="0" w:evenVBand="0" w:oddHBand="0" w:evenHBand="0" w:firstRowFirstColumn="0" w:firstRowLastColumn="0" w:lastRowFirstColumn="0" w:lastRowLastColumn="0"/>
            <w:tcW w:w="237" w:type="dxa"/>
          </w:tcPr>
          <w:p w14:paraId="349274D7" w14:textId="77777777" w:rsidR="00F16A45" w:rsidRPr="000F1F50" w:rsidRDefault="00F16A45" w:rsidP="00F16A45">
            <w:pPr>
              <w:pStyle w:val="TableText"/>
              <w:spacing w:line="240" w:lineRule="auto"/>
              <w:rPr>
                <w:sz w:val="12"/>
                <w:szCs w:val="12"/>
              </w:rPr>
            </w:pPr>
          </w:p>
        </w:tc>
        <w:tc>
          <w:tcPr>
            <w:tcW w:w="756" w:type="dxa"/>
            <w:tcBorders>
              <w:right w:val="single" w:sz="4" w:space="0" w:color="auto"/>
            </w:tcBorders>
          </w:tcPr>
          <w:p w14:paraId="719928FB" w14:textId="2A6E07AB" w:rsidR="00F16A45" w:rsidRPr="000F1F50" w:rsidRDefault="00F16A45" w:rsidP="00F16A45">
            <w:pPr>
              <w:pStyle w:val="TableText"/>
              <w:spacing w:line="240" w:lineRule="auto"/>
              <w:cnfStyle w:val="000000000000" w:firstRow="0" w:lastRow="0" w:firstColumn="0" w:lastColumn="0" w:oddVBand="0" w:evenVBand="0" w:oddHBand="0" w:evenHBand="0" w:firstRowFirstColumn="0" w:firstRowLastColumn="0" w:lastRowFirstColumn="0" w:lastRowLastColumn="0"/>
              <w:rPr>
                <w:sz w:val="12"/>
                <w:szCs w:val="12"/>
              </w:rPr>
            </w:pPr>
            <w:r w:rsidRPr="000F1F50">
              <w:rPr>
                <w:sz w:val="12"/>
                <w:szCs w:val="12"/>
              </w:rPr>
              <w:t>27/2/</w:t>
            </w:r>
            <w:r w:rsidR="00DE4991" w:rsidRPr="000F1F50">
              <w:rPr>
                <w:sz w:val="12"/>
                <w:szCs w:val="12"/>
              </w:rPr>
              <w:t>20</w:t>
            </w:r>
            <w:r w:rsidR="00DE4991">
              <w:rPr>
                <w:sz w:val="12"/>
                <w:szCs w:val="12"/>
              </w:rPr>
              <w:t>22</w:t>
            </w:r>
          </w:p>
        </w:tc>
        <w:tc>
          <w:tcPr>
            <w:tcW w:w="755" w:type="dxa"/>
            <w:tcBorders>
              <w:left w:val="single" w:sz="4" w:space="0" w:color="auto"/>
            </w:tcBorders>
          </w:tcPr>
          <w:p w14:paraId="1BC60CF6" w14:textId="77777777" w:rsidR="00F16A45" w:rsidRPr="000F1F50" w:rsidRDefault="00F16A45" w:rsidP="00481903">
            <w:pPr>
              <w:pStyle w:val="TableText"/>
              <w:spacing w:line="240" w:lineRule="auto"/>
              <w:jc w:val="right"/>
              <w:cnfStyle w:val="000000000000" w:firstRow="0" w:lastRow="0" w:firstColumn="0" w:lastColumn="0" w:oddVBand="0" w:evenVBand="0" w:oddHBand="0" w:evenHBand="0" w:firstRowFirstColumn="0" w:firstRowLastColumn="0" w:lastRowFirstColumn="0" w:lastRowLastColumn="0"/>
              <w:rPr>
                <w:sz w:val="12"/>
                <w:szCs w:val="12"/>
              </w:rPr>
            </w:pPr>
          </w:p>
        </w:tc>
        <w:tc>
          <w:tcPr>
            <w:tcW w:w="425" w:type="dxa"/>
          </w:tcPr>
          <w:p w14:paraId="17EC02E0" w14:textId="77777777" w:rsidR="00F16A45" w:rsidRPr="000F1F50" w:rsidRDefault="00F16A45" w:rsidP="00481903">
            <w:pPr>
              <w:pStyle w:val="TableText"/>
              <w:spacing w:line="240" w:lineRule="auto"/>
              <w:jc w:val="right"/>
              <w:cnfStyle w:val="000000000000" w:firstRow="0" w:lastRow="0" w:firstColumn="0" w:lastColumn="0" w:oddVBand="0" w:evenVBand="0" w:oddHBand="0" w:evenHBand="0" w:firstRowFirstColumn="0" w:firstRowLastColumn="0" w:lastRowFirstColumn="0" w:lastRowLastColumn="0"/>
              <w:rPr>
                <w:sz w:val="12"/>
                <w:szCs w:val="12"/>
              </w:rPr>
            </w:pPr>
          </w:p>
        </w:tc>
        <w:tc>
          <w:tcPr>
            <w:tcW w:w="709" w:type="dxa"/>
          </w:tcPr>
          <w:p w14:paraId="5437061E" w14:textId="77777777" w:rsidR="00F16A45" w:rsidRPr="000F1F50" w:rsidRDefault="00F16A45" w:rsidP="00481903">
            <w:pPr>
              <w:pStyle w:val="TableText"/>
              <w:spacing w:line="240" w:lineRule="auto"/>
              <w:jc w:val="right"/>
              <w:cnfStyle w:val="000000000000" w:firstRow="0" w:lastRow="0" w:firstColumn="0" w:lastColumn="0" w:oddVBand="0" w:evenVBand="0" w:oddHBand="0" w:evenHBand="0" w:firstRowFirstColumn="0" w:firstRowLastColumn="0" w:lastRowFirstColumn="0" w:lastRowLastColumn="0"/>
              <w:rPr>
                <w:sz w:val="12"/>
                <w:szCs w:val="12"/>
              </w:rPr>
            </w:pPr>
          </w:p>
        </w:tc>
        <w:tc>
          <w:tcPr>
            <w:tcW w:w="425" w:type="dxa"/>
          </w:tcPr>
          <w:p w14:paraId="5DF29652" w14:textId="77777777" w:rsidR="00F16A45" w:rsidRPr="000F1F50" w:rsidRDefault="00F16A45" w:rsidP="00481903">
            <w:pPr>
              <w:pStyle w:val="TableText"/>
              <w:spacing w:line="240" w:lineRule="auto"/>
              <w:jc w:val="right"/>
              <w:cnfStyle w:val="000000000000" w:firstRow="0" w:lastRow="0" w:firstColumn="0" w:lastColumn="0" w:oddVBand="0" w:evenVBand="0" w:oddHBand="0" w:evenHBand="0" w:firstRowFirstColumn="0" w:firstRowLastColumn="0" w:lastRowFirstColumn="0" w:lastRowLastColumn="0"/>
              <w:rPr>
                <w:sz w:val="12"/>
                <w:szCs w:val="12"/>
              </w:rPr>
            </w:pPr>
          </w:p>
        </w:tc>
        <w:tc>
          <w:tcPr>
            <w:tcW w:w="709" w:type="dxa"/>
          </w:tcPr>
          <w:p w14:paraId="3E7DB76F" w14:textId="77777777" w:rsidR="00F16A45" w:rsidRPr="000F1F50" w:rsidRDefault="00F16A45" w:rsidP="00481903">
            <w:pPr>
              <w:pStyle w:val="TableText"/>
              <w:spacing w:line="240" w:lineRule="auto"/>
              <w:jc w:val="right"/>
              <w:cnfStyle w:val="000000000000" w:firstRow="0" w:lastRow="0" w:firstColumn="0" w:lastColumn="0" w:oddVBand="0" w:evenVBand="0" w:oddHBand="0" w:evenHBand="0" w:firstRowFirstColumn="0" w:firstRowLastColumn="0" w:lastRowFirstColumn="0" w:lastRowLastColumn="0"/>
              <w:rPr>
                <w:sz w:val="12"/>
                <w:szCs w:val="12"/>
              </w:rPr>
            </w:pPr>
          </w:p>
        </w:tc>
        <w:tc>
          <w:tcPr>
            <w:tcW w:w="567" w:type="dxa"/>
          </w:tcPr>
          <w:p w14:paraId="77F2E986" w14:textId="77777777" w:rsidR="00F16A45" w:rsidRPr="000F1F50" w:rsidRDefault="00F16A45" w:rsidP="00481903">
            <w:pPr>
              <w:pStyle w:val="TableText"/>
              <w:spacing w:line="240" w:lineRule="auto"/>
              <w:jc w:val="right"/>
              <w:cnfStyle w:val="000000000000" w:firstRow="0" w:lastRow="0" w:firstColumn="0" w:lastColumn="0" w:oddVBand="0" w:evenVBand="0" w:oddHBand="0" w:evenHBand="0" w:firstRowFirstColumn="0" w:firstRowLastColumn="0" w:lastRowFirstColumn="0" w:lastRowLastColumn="0"/>
              <w:rPr>
                <w:sz w:val="12"/>
                <w:szCs w:val="12"/>
              </w:rPr>
            </w:pPr>
          </w:p>
        </w:tc>
        <w:tc>
          <w:tcPr>
            <w:tcW w:w="709" w:type="dxa"/>
          </w:tcPr>
          <w:p w14:paraId="3CF5AF78" w14:textId="77777777" w:rsidR="00F16A45" w:rsidRPr="000F1F50" w:rsidRDefault="00F16A45" w:rsidP="00481903">
            <w:pPr>
              <w:pStyle w:val="TableText"/>
              <w:spacing w:line="240" w:lineRule="auto"/>
              <w:jc w:val="right"/>
              <w:cnfStyle w:val="000000000000" w:firstRow="0" w:lastRow="0" w:firstColumn="0" w:lastColumn="0" w:oddVBand="0" w:evenVBand="0" w:oddHBand="0" w:evenHBand="0" w:firstRowFirstColumn="0" w:firstRowLastColumn="0" w:lastRowFirstColumn="0" w:lastRowLastColumn="0"/>
              <w:rPr>
                <w:sz w:val="12"/>
                <w:szCs w:val="12"/>
              </w:rPr>
            </w:pPr>
          </w:p>
        </w:tc>
        <w:tc>
          <w:tcPr>
            <w:tcW w:w="567" w:type="dxa"/>
            <w:tcBorders>
              <w:right w:val="single" w:sz="4" w:space="0" w:color="auto"/>
            </w:tcBorders>
          </w:tcPr>
          <w:p w14:paraId="385956C0" w14:textId="77777777" w:rsidR="00F16A45" w:rsidRPr="000F1F50" w:rsidRDefault="00F16A45" w:rsidP="00481903">
            <w:pPr>
              <w:pStyle w:val="TableText"/>
              <w:spacing w:line="240" w:lineRule="auto"/>
              <w:jc w:val="right"/>
              <w:cnfStyle w:val="000000000000" w:firstRow="0" w:lastRow="0" w:firstColumn="0" w:lastColumn="0" w:oddVBand="0" w:evenVBand="0" w:oddHBand="0" w:evenHBand="0" w:firstRowFirstColumn="0" w:firstRowLastColumn="0" w:lastRowFirstColumn="0" w:lastRowLastColumn="0"/>
              <w:rPr>
                <w:sz w:val="12"/>
                <w:szCs w:val="12"/>
              </w:rPr>
            </w:pPr>
          </w:p>
        </w:tc>
        <w:tc>
          <w:tcPr>
            <w:tcW w:w="662" w:type="dxa"/>
            <w:tcBorders>
              <w:left w:val="single" w:sz="4" w:space="0" w:color="auto"/>
            </w:tcBorders>
          </w:tcPr>
          <w:p w14:paraId="5661DA84" w14:textId="77777777" w:rsidR="00F16A45" w:rsidRPr="000F1F50" w:rsidRDefault="00F16A45" w:rsidP="00481903">
            <w:pPr>
              <w:pStyle w:val="TableText"/>
              <w:spacing w:line="240" w:lineRule="auto"/>
              <w:jc w:val="right"/>
              <w:cnfStyle w:val="000000000000" w:firstRow="0" w:lastRow="0" w:firstColumn="0" w:lastColumn="0" w:oddVBand="0" w:evenVBand="0" w:oddHBand="0" w:evenHBand="0" w:firstRowFirstColumn="0" w:firstRowLastColumn="0" w:lastRowFirstColumn="0" w:lastRowLastColumn="0"/>
              <w:rPr>
                <w:sz w:val="12"/>
                <w:szCs w:val="12"/>
              </w:rPr>
            </w:pPr>
          </w:p>
        </w:tc>
        <w:tc>
          <w:tcPr>
            <w:tcW w:w="425" w:type="dxa"/>
          </w:tcPr>
          <w:p w14:paraId="0308E0D5" w14:textId="77777777" w:rsidR="00F16A45" w:rsidRPr="000F1F50" w:rsidRDefault="00F16A45" w:rsidP="00481903">
            <w:pPr>
              <w:pStyle w:val="TableText"/>
              <w:spacing w:line="240" w:lineRule="auto"/>
              <w:jc w:val="right"/>
              <w:cnfStyle w:val="000000000000" w:firstRow="0" w:lastRow="0" w:firstColumn="0" w:lastColumn="0" w:oddVBand="0" w:evenVBand="0" w:oddHBand="0" w:evenHBand="0" w:firstRowFirstColumn="0" w:firstRowLastColumn="0" w:lastRowFirstColumn="0" w:lastRowLastColumn="0"/>
              <w:rPr>
                <w:sz w:val="12"/>
                <w:szCs w:val="12"/>
              </w:rPr>
            </w:pPr>
          </w:p>
        </w:tc>
        <w:tc>
          <w:tcPr>
            <w:tcW w:w="755" w:type="dxa"/>
          </w:tcPr>
          <w:p w14:paraId="06A60DEB" w14:textId="77777777" w:rsidR="00F16A45" w:rsidRPr="000F1F50" w:rsidRDefault="00F16A45" w:rsidP="00481903">
            <w:pPr>
              <w:pStyle w:val="TableText"/>
              <w:spacing w:line="240" w:lineRule="auto"/>
              <w:jc w:val="right"/>
              <w:cnfStyle w:val="000000000000" w:firstRow="0" w:lastRow="0" w:firstColumn="0" w:lastColumn="0" w:oddVBand="0" w:evenVBand="0" w:oddHBand="0" w:evenHBand="0" w:firstRowFirstColumn="0" w:firstRowLastColumn="0" w:lastRowFirstColumn="0" w:lastRowLastColumn="0"/>
              <w:rPr>
                <w:sz w:val="12"/>
                <w:szCs w:val="12"/>
              </w:rPr>
            </w:pPr>
          </w:p>
        </w:tc>
        <w:tc>
          <w:tcPr>
            <w:tcW w:w="425" w:type="dxa"/>
          </w:tcPr>
          <w:p w14:paraId="2B70AF3D" w14:textId="77777777" w:rsidR="00F16A45" w:rsidRPr="000F1F50" w:rsidRDefault="00F16A45" w:rsidP="00481903">
            <w:pPr>
              <w:pStyle w:val="TableText"/>
              <w:spacing w:line="240" w:lineRule="auto"/>
              <w:jc w:val="right"/>
              <w:cnfStyle w:val="000000000000" w:firstRow="0" w:lastRow="0" w:firstColumn="0" w:lastColumn="0" w:oddVBand="0" w:evenVBand="0" w:oddHBand="0" w:evenHBand="0" w:firstRowFirstColumn="0" w:firstRowLastColumn="0" w:lastRowFirstColumn="0" w:lastRowLastColumn="0"/>
              <w:rPr>
                <w:sz w:val="12"/>
                <w:szCs w:val="12"/>
              </w:rPr>
            </w:pPr>
          </w:p>
        </w:tc>
        <w:tc>
          <w:tcPr>
            <w:tcW w:w="709" w:type="dxa"/>
          </w:tcPr>
          <w:p w14:paraId="1CFF90D8" w14:textId="77777777" w:rsidR="00F16A45" w:rsidRPr="000F1F50" w:rsidRDefault="00F16A45" w:rsidP="00481903">
            <w:pPr>
              <w:pStyle w:val="TableText"/>
              <w:spacing w:line="240" w:lineRule="auto"/>
              <w:jc w:val="right"/>
              <w:cnfStyle w:val="000000000000" w:firstRow="0" w:lastRow="0" w:firstColumn="0" w:lastColumn="0" w:oddVBand="0" w:evenVBand="0" w:oddHBand="0" w:evenHBand="0" w:firstRowFirstColumn="0" w:firstRowLastColumn="0" w:lastRowFirstColumn="0" w:lastRowLastColumn="0"/>
              <w:rPr>
                <w:sz w:val="12"/>
                <w:szCs w:val="12"/>
              </w:rPr>
            </w:pPr>
          </w:p>
        </w:tc>
        <w:tc>
          <w:tcPr>
            <w:tcW w:w="567" w:type="dxa"/>
          </w:tcPr>
          <w:p w14:paraId="136462F6" w14:textId="77777777" w:rsidR="00F16A45" w:rsidRPr="000F1F50" w:rsidRDefault="00F16A45" w:rsidP="00481903">
            <w:pPr>
              <w:pStyle w:val="TableText"/>
              <w:spacing w:line="240" w:lineRule="auto"/>
              <w:jc w:val="right"/>
              <w:cnfStyle w:val="000000000000" w:firstRow="0" w:lastRow="0" w:firstColumn="0" w:lastColumn="0" w:oddVBand="0" w:evenVBand="0" w:oddHBand="0" w:evenHBand="0" w:firstRowFirstColumn="0" w:firstRowLastColumn="0" w:lastRowFirstColumn="0" w:lastRowLastColumn="0"/>
              <w:rPr>
                <w:sz w:val="12"/>
                <w:szCs w:val="12"/>
              </w:rPr>
            </w:pPr>
          </w:p>
        </w:tc>
        <w:tc>
          <w:tcPr>
            <w:tcW w:w="709" w:type="dxa"/>
          </w:tcPr>
          <w:p w14:paraId="0D3520D8" w14:textId="77777777" w:rsidR="00F16A45" w:rsidRPr="000F1F50" w:rsidRDefault="00F16A45" w:rsidP="00481903">
            <w:pPr>
              <w:pStyle w:val="TableText"/>
              <w:spacing w:line="240" w:lineRule="auto"/>
              <w:jc w:val="right"/>
              <w:cnfStyle w:val="000000000000" w:firstRow="0" w:lastRow="0" w:firstColumn="0" w:lastColumn="0" w:oddVBand="0" w:evenVBand="0" w:oddHBand="0" w:evenHBand="0" w:firstRowFirstColumn="0" w:firstRowLastColumn="0" w:lastRowFirstColumn="0" w:lastRowLastColumn="0"/>
              <w:rPr>
                <w:sz w:val="12"/>
                <w:szCs w:val="12"/>
              </w:rPr>
            </w:pPr>
          </w:p>
        </w:tc>
        <w:tc>
          <w:tcPr>
            <w:tcW w:w="548" w:type="dxa"/>
            <w:tcBorders>
              <w:right w:val="single" w:sz="4" w:space="0" w:color="auto"/>
            </w:tcBorders>
          </w:tcPr>
          <w:p w14:paraId="4A39B368" w14:textId="77777777" w:rsidR="00F16A45" w:rsidRPr="000F1F50" w:rsidRDefault="00F16A45" w:rsidP="00481903">
            <w:pPr>
              <w:pStyle w:val="TableText"/>
              <w:spacing w:line="240" w:lineRule="auto"/>
              <w:jc w:val="right"/>
              <w:cnfStyle w:val="000000000000" w:firstRow="0" w:lastRow="0" w:firstColumn="0" w:lastColumn="0" w:oddVBand="0" w:evenVBand="0" w:oddHBand="0" w:evenHBand="0" w:firstRowFirstColumn="0" w:firstRowLastColumn="0" w:lastRowFirstColumn="0" w:lastRowLastColumn="0"/>
              <w:rPr>
                <w:sz w:val="12"/>
                <w:szCs w:val="12"/>
              </w:rPr>
            </w:pPr>
          </w:p>
        </w:tc>
        <w:tc>
          <w:tcPr>
            <w:tcW w:w="823" w:type="dxa"/>
            <w:tcBorders>
              <w:left w:val="single" w:sz="4" w:space="0" w:color="auto"/>
            </w:tcBorders>
          </w:tcPr>
          <w:p w14:paraId="22A47011" w14:textId="77777777" w:rsidR="00F16A45" w:rsidRPr="000F1F50" w:rsidRDefault="00F16A45" w:rsidP="00481903">
            <w:pPr>
              <w:pStyle w:val="TableText"/>
              <w:spacing w:line="240" w:lineRule="auto"/>
              <w:jc w:val="right"/>
              <w:cnfStyle w:val="000000000000" w:firstRow="0" w:lastRow="0" w:firstColumn="0" w:lastColumn="0" w:oddVBand="0" w:evenVBand="0" w:oddHBand="0" w:evenHBand="0" w:firstRowFirstColumn="0" w:firstRowLastColumn="0" w:lastRowFirstColumn="0" w:lastRowLastColumn="0"/>
              <w:rPr>
                <w:sz w:val="12"/>
                <w:szCs w:val="12"/>
              </w:rPr>
            </w:pPr>
          </w:p>
        </w:tc>
        <w:tc>
          <w:tcPr>
            <w:tcW w:w="851" w:type="dxa"/>
          </w:tcPr>
          <w:p w14:paraId="196BFEB7" w14:textId="77777777" w:rsidR="00F16A45" w:rsidRPr="000F1F50" w:rsidRDefault="00F16A45" w:rsidP="00481903">
            <w:pPr>
              <w:pStyle w:val="TableText"/>
              <w:spacing w:line="240" w:lineRule="auto"/>
              <w:jc w:val="right"/>
              <w:cnfStyle w:val="000000000000" w:firstRow="0" w:lastRow="0" w:firstColumn="0" w:lastColumn="0" w:oddVBand="0" w:evenVBand="0" w:oddHBand="0" w:evenHBand="0" w:firstRowFirstColumn="0" w:firstRowLastColumn="0" w:lastRowFirstColumn="0" w:lastRowLastColumn="0"/>
              <w:rPr>
                <w:sz w:val="12"/>
                <w:szCs w:val="12"/>
              </w:rPr>
            </w:pPr>
          </w:p>
        </w:tc>
        <w:tc>
          <w:tcPr>
            <w:tcW w:w="1276" w:type="dxa"/>
          </w:tcPr>
          <w:p w14:paraId="5F177158" w14:textId="77777777" w:rsidR="00F16A45" w:rsidRPr="000F1F50" w:rsidRDefault="00F16A45" w:rsidP="00481903">
            <w:pPr>
              <w:pStyle w:val="TableText"/>
              <w:spacing w:line="240" w:lineRule="auto"/>
              <w:jc w:val="right"/>
              <w:cnfStyle w:val="000000000000" w:firstRow="0" w:lastRow="0" w:firstColumn="0" w:lastColumn="0" w:oddVBand="0" w:evenVBand="0" w:oddHBand="0" w:evenHBand="0" w:firstRowFirstColumn="0" w:firstRowLastColumn="0" w:lastRowFirstColumn="0" w:lastRowLastColumn="0"/>
              <w:rPr>
                <w:sz w:val="12"/>
                <w:szCs w:val="12"/>
              </w:rPr>
            </w:pPr>
          </w:p>
        </w:tc>
        <w:tc>
          <w:tcPr>
            <w:tcW w:w="1038" w:type="dxa"/>
          </w:tcPr>
          <w:p w14:paraId="21642605" w14:textId="77777777" w:rsidR="00F16A45" w:rsidRPr="000F1F50" w:rsidRDefault="00F16A45" w:rsidP="00481903">
            <w:pPr>
              <w:pStyle w:val="TableText"/>
              <w:spacing w:line="240" w:lineRule="auto"/>
              <w:jc w:val="right"/>
              <w:cnfStyle w:val="000000000000" w:firstRow="0" w:lastRow="0" w:firstColumn="0" w:lastColumn="0" w:oddVBand="0" w:evenVBand="0" w:oddHBand="0" w:evenHBand="0" w:firstRowFirstColumn="0" w:firstRowLastColumn="0" w:lastRowFirstColumn="0" w:lastRowLastColumn="0"/>
              <w:rPr>
                <w:sz w:val="12"/>
                <w:szCs w:val="12"/>
              </w:rPr>
            </w:pPr>
          </w:p>
        </w:tc>
      </w:tr>
      <w:tr w:rsidR="0088420A" w:rsidRPr="000F1F50" w14:paraId="42AE5105" w14:textId="77777777" w:rsidTr="008842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 w:type="dxa"/>
          </w:tcPr>
          <w:p w14:paraId="69AE312D" w14:textId="77777777" w:rsidR="00F16A45" w:rsidRPr="000F1F50" w:rsidRDefault="00F16A45" w:rsidP="00F16A45">
            <w:pPr>
              <w:pStyle w:val="TableText"/>
              <w:spacing w:line="240" w:lineRule="auto"/>
              <w:rPr>
                <w:sz w:val="12"/>
                <w:szCs w:val="12"/>
              </w:rPr>
            </w:pPr>
          </w:p>
        </w:tc>
        <w:tc>
          <w:tcPr>
            <w:tcW w:w="756" w:type="dxa"/>
            <w:tcBorders>
              <w:right w:val="single" w:sz="4" w:space="0" w:color="auto"/>
            </w:tcBorders>
          </w:tcPr>
          <w:p w14:paraId="5AA1833B" w14:textId="5A28F60C" w:rsidR="00F16A45" w:rsidRPr="000F1F50" w:rsidRDefault="00F16A45" w:rsidP="00F16A45">
            <w:pPr>
              <w:pStyle w:val="TableText"/>
              <w:spacing w:line="240" w:lineRule="auto"/>
              <w:cnfStyle w:val="000000100000" w:firstRow="0" w:lastRow="0" w:firstColumn="0" w:lastColumn="0" w:oddVBand="0" w:evenVBand="0" w:oddHBand="1" w:evenHBand="0" w:firstRowFirstColumn="0" w:firstRowLastColumn="0" w:lastRowFirstColumn="0" w:lastRowLastColumn="0"/>
              <w:rPr>
                <w:sz w:val="12"/>
                <w:szCs w:val="12"/>
              </w:rPr>
            </w:pPr>
            <w:r w:rsidRPr="000F1F50">
              <w:rPr>
                <w:sz w:val="12"/>
                <w:szCs w:val="12"/>
              </w:rPr>
              <w:t>28/2/</w:t>
            </w:r>
            <w:r w:rsidR="00DE4991" w:rsidRPr="000F1F50">
              <w:rPr>
                <w:sz w:val="12"/>
                <w:szCs w:val="12"/>
              </w:rPr>
              <w:t>20</w:t>
            </w:r>
            <w:r w:rsidR="00DE4991">
              <w:rPr>
                <w:sz w:val="12"/>
                <w:szCs w:val="12"/>
              </w:rPr>
              <w:t>22</w:t>
            </w:r>
          </w:p>
        </w:tc>
        <w:tc>
          <w:tcPr>
            <w:tcW w:w="755" w:type="dxa"/>
            <w:tcBorders>
              <w:left w:val="single" w:sz="4" w:space="0" w:color="auto"/>
            </w:tcBorders>
          </w:tcPr>
          <w:p w14:paraId="01346041" w14:textId="77777777" w:rsidR="00F16A45" w:rsidRPr="000F1F50" w:rsidRDefault="00F16A45" w:rsidP="00481903">
            <w:pPr>
              <w:pStyle w:val="TableText"/>
              <w:spacing w:line="240" w:lineRule="auto"/>
              <w:jc w:val="right"/>
              <w:cnfStyle w:val="000000100000" w:firstRow="0" w:lastRow="0" w:firstColumn="0" w:lastColumn="0" w:oddVBand="0" w:evenVBand="0" w:oddHBand="1" w:evenHBand="0" w:firstRowFirstColumn="0" w:firstRowLastColumn="0" w:lastRowFirstColumn="0" w:lastRowLastColumn="0"/>
              <w:rPr>
                <w:sz w:val="12"/>
                <w:szCs w:val="12"/>
              </w:rPr>
            </w:pPr>
          </w:p>
        </w:tc>
        <w:tc>
          <w:tcPr>
            <w:tcW w:w="425" w:type="dxa"/>
          </w:tcPr>
          <w:p w14:paraId="515D4DB7" w14:textId="77777777" w:rsidR="00F16A45" w:rsidRPr="000F1F50" w:rsidRDefault="00F16A45" w:rsidP="00481903">
            <w:pPr>
              <w:pStyle w:val="TableText"/>
              <w:spacing w:line="240" w:lineRule="auto"/>
              <w:jc w:val="right"/>
              <w:cnfStyle w:val="000000100000" w:firstRow="0" w:lastRow="0" w:firstColumn="0" w:lastColumn="0" w:oddVBand="0" w:evenVBand="0" w:oddHBand="1" w:evenHBand="0" w:firstRowFirstColumn="0" w:firstRowLastColumn="0" w:lastRowFirstColumn="0" w:lastRowLastColumn="0"/>
              <w:rPr>
                <w:sz w:val="12"/>
                <w:szCs w:val="12"/>
              </w:rPr>
            </w:pPr>
          </w:p>
        </w:tc>
        <w:tc>
          <w:tcPr>
            <w:tcW w:w="709" w:type="dxa"/>
          </w:tcPr>
          <w:p w14:paraId="037B56DA" w14:textId="77777777" w:rsidR="00F16A45" w:rsidRPr="000F1F50" w:rsidRDefault="00F16A45" w:rsidP="00481903">
            <w:pPr>
              <w:pStyle w:val="TableText"/>
              <w:spacing w:line="240" w:lineRule="auto"/>
              <w:jc w:val="right"/>
              <w:cnfStyle w:val="000000100000" w:firstRow="0" w:lastRow="0" w:firstColumn="0" w:lastColumn="0" w:oddVBand="0" w:evenVBand="0" w:oddHBand="1" w:evenHBand="0" w:firstRowFirstColumn="0" w:firstRowLastColumn="0" w:lastRowFirstColumn="0" w:lastRowLastColumn="0"/>
              <w:rPr>
                <w:sz w:val="12"/>
                <w:szCs w:val="12"/>
              </w:rPr>
            </w:pPr>
          </w:p>
        </w:tc>
        <w:tc>
          <w:tcPr>
            <w:tcW w:w="425" w:type="dxa"/>
          </w:tcPr>
          <w:p w14:paraId="2DBFA151" w14:textId="77777777" w:rsidR="00F16A45" w:rsidRPr="000F1F50" w:rsidRDefault="00F16A45" w:rsidP="00481903">
            <w:pPr>
              <w:pStyle w:val="TableText"/>
              <w:spacing w:line="240" w:lineRule="auto"/>
              <w:jc w:val="right"/>
              <w:cnfStyle w:val="000000100000" w:firstRow="0" w:lastRow="0" w:firstColumn="0" w:lastColumn="0" w:oddVBand="0" w:evenVBand="0" w:oddHBand="1" w:evenHBand="0" w:firstRowFirstColumn="0" w:firstRowLastColumn="0" w:lastRowFirstColumn="0" w:lastRowLastColumn="0"/>
              <w:rPr>
                <w:sz w:val="12"/>
                <w:szCs w:val="12"/>
              </w:rPr>
            </w:pPr>
          </w:p>
        </w:tc>
        <w:tc>
          <w:tcPr>
            <w:tcW w:w="709" w:type="dxa"/>
          </w:tcPr>
          <w:p w14:paraId="2B9C7C24" w14:textId="77777777" w:rsidR="00F16A45" w:rsidRPr="000F1F50" w:rsidRDefault="00F16A45" w:rsidP="00481903">
            <w:pPr>
              <w:pStyle w:val="TableText"/>
              <w:spacing w:line="240" w:lineRule="auto"/>
              <w:jc w:val="right"/>
              <w:cnfStyle w:val="000000100000" w:firstRow="0" w:lastRow="0" w:firstColumn="0" w:lastColumn="0" w:oddVBand="0" w:evenVBand="0" w:oddHBand="1" w:evenHBand="0" w:firstRowFirstColumn="0" w:firstRowLastColumn="0" w:lastRowFirstColumn="0" w:lastRowLastColumn="0"/>
              <w:rPr>
                <w:sz w:val="12"/>
                <w:szCs w:val="12"/>
              </w:rPr>
            </w:pPr>
          </w:p>
        </w:tc>
        <w:tc>
          <w:tcPr>
            <w:tcW w:w="567" w:type="dxa"/>
          </w:tcPr>
          <w:p w14:paraId="2D533125" w14:textId="77777777" w:rsidR="00F16A45" w:rsidRPr="000F1F50" w:rsidRDefault="00F16A45" w:rsidP="00481903">
            <w:pPr>
              <w:pStyle w:val="TableText"/>
              <w:spacing w:line="240" w:lineRule="auto"/>
              <w:jc w:val="right"/>
              <w:cnfStyle w:val="000000100000" w:firstRow="0" w:lastRow="0" w:firstColumn="0" w:lastColumn="0" w:oddVBand="0" w:evenVBand="0" w:oddHBand="1" w:evenHBand="0" w:firstRowFirstColumn="0" w:firstRowLastColumn="0" w:lastRowFirstColumn="0" w:lastRowLastColumn="0"/>
              <w:rPr>
                <w:sz w:val="12"/>
                <w:szCs w:val="12"/>
              </w:rPr>
            </w:pPr>
          </w:p>
        </w:tc>
        <w:tc>
          <w:tcPr>
            <w:tcW w:w="709" w:type="dxa"/>
          </w:tcPr>
          <w:p w14:paraId="6B911787" w14:textId="77777777" w:rsidR="00F16A45" w:rsidRPr="000F1F50" w:rsidRDefault="00F16A45" w:rsidP="00481903">
            <w:pPr>
              <w:pStyle w:val="TableText"/>
              <w:spacing w:line="240" w:lineRule="auto"/>
              <w:jc w:val="right"/>
              <w:cnfStyle w:val="000000100000" w:firstRow="0" w:lastRow="0" w:firstColumn="0" w:lastColumn="0" w:oddVBand="0" w:evenVBand="0" w:oddHBand="1" w:evenHBand="0" w:firstRowFirstColumn="0" w:firstRowLastColumn="0" w:lastRowFirstColumn="0" w:lastRowLastColumn="0"/>
              <w:rPr>
                <w:sz w:val="12"/>
                <w:szCs w:val="12"/>
              </w:rPr>
            </w:pPr>
          </w:p>
        </w:tc>
        <w:tc>
          <w:tcPr>
            <w:tcW w:w="567" w:type="dxa"/>
            <w:tcBorders>
              <w:right w:val="single" w:sz="4" w:space="0" w:color="auto"/>
            </w:tcBorders>
          </w:tcPr>
          <w:p w14:paraId="38409400" w14:textId="77777777" w:rsidR="00F16A45" w:rsidRPr="000F1F50" w:rsidRDefault="00F16A45" w:rsidP="00481903">
            <w:pPr>
              <w:pStyle w:val="TableText"/>
              <w:spacing w:line="240" w:lineRule="auto"/>
              <w:jc w:val="right"/>
              <w:cnfStyle w:val="000000100000" w:firstRow="0" w:lastRow="0" w:firstColumn="0" w:lastColumn="0" w:oddVBand="0" w:evenVBand="0" w:oddHBand="1" w:evenHBand="0" w:firstRowFirstColumn="0" w:firstRowLastColumn="0" w:lastRowFirstColumn="0" w:lastRowLastColumn="0"/>
              <w:rPr>
                <w:sz w:val="12"/>
                <w:szCs w:val="12"/>
              </w:rPr>
            </w:pPr>
          </w:p>
        </w:tc>
        <w:tc>
          <w:tcPr>
            <w:tcW w:w="662" w:type="dxa"/>
            <w:tcBorders>
              <w:left w:val="single" w:sz="4" w:space="0" w:color="auto"/>
            </w:tcBorders>
          </w:tcPr>
          <w:p w14:paraId="207A8484" w14:textId="77777777" w:rsidR="00F16A45" w:rsidRPr="000F1F50" w:rsidRDefault="00F16A45" w:rsidP="00481903">
            <w:pPr>
              <w:pStyle w:val="TableText"/>
              <w:spacing w:line="240" w:lineRule="auto"/>
              <w:jc w:val="right"/>
              <w:cnfStyle w:val="000000100000" w:firstRow="0" w:lastRow="0" w:firstColumn="0" w:lastColumn="0" w:oddVBand="0" w:evenVBand="0" w:oddHBand="1" w:evenHBand="0" w:firstRowFirstColumn="0" w:firstRowLastColumn="0" w:lastRowFirstColumn="0" w:lastRowLastColumn="0"/>
              <w:rPr>
                <w:sz w:val="12"/>
                <w:szCs w:val="12"/>
              </w:rPr>
            </w:pPr>
          </w:p>
        </w:tc>
        <w:tc>
          <w:tcPr>
            <w:tcW w:w="425" w:type="dxa"/>
          </w:tcPr>
          <w:p w14:paraId="173A7E7E" w14:textId="77777777" w:rsidR="00F16A45" w:rsidRPr="000F1F50" w:rsidRDefault="00F16A45" w:rsidP="00481903">
            <w:pPr>
              <w:pStyle w:val="TableText"/>
              <w:spacing w:line="240" w:lineRule="auto"/>
              <w:jc w:val="right"/>
              <w:cnfStyle w:val="000000100000" w:firstRow="0" w:lastRow="0" w:firstColumn="0" w:lastColumn="0" w:oddVBand="0" w:evenVBand="0" w:oddHBand="1" w:evenHBand="0" w:firstRowFirstColumn="0" w:firstRowLastColumn="0" w:lastRowFirstColumn="0" w:lastRowLastColumn="0"/>
              <w:rPr>
                <w:sz w:val="12"/>
                <w:szCs w:val="12"/>
              </w:rPr>
            </w:pPr>
          </w:p>
        </w:tc>
        <w:tc>
          <w:tcPr>
            <w:tcW w:w="755" w:type="dxa"/>
          </w:tcPr>
          <w:p w14:paraId="3A1366A4" w14:textId="77777777" w:rsidR="00F16A45" w:rsidRPr="000F1F50" w:rsidRDefault="00F16A45" w:rsidP="00481903">
            <w:pPr>
              <w:pStyle w:val="TableText"/>
              <w:spacing w:line="240" w:lineRule="auto"/>
              <w:jc w:val="right"/>
              <w:cnfStyle w:val="000000100000" w:firstRow="0" w:lastRow="0" w:firstColumn="0" w:lastColumn="0" w:oddVBand="0" w:evenVBand="0" w:oddHBand="1" w:evenHBand="0" w:firstRowFirstColumn="0" w:firstRowLastColumn="0" w:lastRowFirstColumn="0" w:lastRowLastColumn="0"/>
              <w:rPr>
                <w:sz w:val="12"/>
                <w:szCs w:val="12"/>
              </w:rPr>
            </w:pPr>
          </w:p>
        </w:tc>
        <w:tc>
          <w:tcPr>
            <w:tcW w:w="425" w:type="dxa"/>
          </w:tcPr>
          <w:p w14:paraId="15556444" w14:textId="77777777" w:rsidR="00F16A45" w:rsidRPr="000F1F50" w:rsidRDefault="00F16A45" w:rsidP="00481903">
            <w:pPr>
              <w:pStyle w:val="TableText"/>
              <w:spacing w:line="240" w:lineRule="auto"/>
              <w:jc w:val="right"/>
              <w:cnfStyle w:val="000000100000" w:firstRow="0" w:lastRow="0" w:firstColumn="0" w:lastColumn="0" w:oddVBand="0" w:evenVBand="0" w:oddHBand="1" w:evenHBand="0" w:firstRowFirstColumn="0" w:firstRowLastColumn="0" w:lastRowFirstColumn="0" w:lastRowLastColumn="0"/>
              <w:rPr>
                <w:sz w:val="12"/>
                <w:szCs w:val="12"/>
              </w:rPr>
            </w:pPr>
          </w:p>
        </w:tc>
        <w:tc>
          <w:tcPr>
            <w:tcW w:w="709" w:type="dxa"/>
          </w:tcPr>
          <w:p w14:paraId="07F45182" w14:textId="77777777" w:rsidR="00F16A45" w:rsidRPr="000F1F50" w:rsidRDefault="00F16A45" w:rsidP="00481903">
            <w:pPr>
              <w:pStyle w:val="TableText"/>
              <w:spacing w:line="240" w:lineRule="auto"/>
              <w:jc w:val="right"/>
              <w:cnfStyle w:val="000000100000" w:firstRow="0" w:lastRow="0" w:firstColumn="0" w:lastColumn="0" w:oddVBand="0" w:evenVBand="0" w:oddHBand="1" w:evenHBand="0" w:firstRowFirstColumn="0" w:firstRowLastColumn="0" w:lastRowFirstColumn="0" w:lastRowLastColumn="0"/>
              <w:rPr>
                <w:sz w:val="12"/>
                <w:szCs w:val="12"/>
              </w:rPr>
            </w:pPr>
          </w:p>
        </w:tc>
        <w:tc>
          <w:tcPr>
            <w:tcW w:w="567" w:type="dxa"/>
          </w:tcPr>
          <w:p w14:paraId="42E7A2AC" w14:textId="77777777" w:rsidR="00F16A45" w:rsidRPr="000F1F50" w:rsidRDefault="00F16A45" w:rsidP="00481903">
            <w:pPr>
              <w:pStyle w:val="TableText"/>
              <w:spacing w:line="240" w:lineRule="auto"/>
              <w:jc w:val="right"/>
              <w:cnfStyle w:val="000000100000" w:firstRow="0" w:lastRow="0" w:firstColumn="0" w:lastColumn="0" w:oddVBand="0" w:evenVBand="0" w:oddHBand="1" w:evenHBand="0" w:firstRowFirstColumn="0" w:firstRowLastColumn="0" w:lastRowFirstColumn="0" w:lastRowLastColumn="0"/>
              <w:rPr>
                <w:sz w:val="12"/>
                <w:szCs w:val="12"/>
              </w:rPr>
            </w:pPr>
          </w:p>
        </w:tc>
        <w:tc>
          <w:tcPr>
            <w:tcW w:w="709" w:type="dxa"/>
          </w:tcPr>
          <w:p w14:paraId="4B586E09" w14:textId="77777777" w:rsidR="00F16A45" w:rsidRPr="000F1F50" w:rsidRDefault="00F16A45" w:rsidP="00481903">
            <w:pPr>
              <w:pStyle w:val="TableText"/>
              <w:spacing w:line="240" w:lineRule="auto"/>
              <w:jc w:val="right"/>
              <w:cnfStyle w:val="000000100000" w:firstRow="0" w:lastRow="0" w:firstColumn="0" w:lastColumn="0" w:oddVBand="0" w:evenVBand="0" w:oddHBand="1" w:evenHBand="0" w:firstRowFirstColumn="0" w:firstRowLastColumn="0" w:lastRowFirstColumn="0" w:lastRowLastColumn="0"/>
              <w:rPr>
                <w:sz w:val="12"/>
                <w:szCs w:val="12"/>
              </w:rPr>
            </w:pPr>
          </w:p>
        </w:tc>
        <w:tc>
          <w:tcPr>
            <w:tcW w:w="548" w:type="dxa"/>
            <w:tcBorders>
              <w:right w:val="single" w:sz="4" w:space="0" w:color="auto"/>
            </w:tcBorders>
          </w:tcPr>
          <w:p w14:paraId="1A822909" w14:textId="77777777" w:rsidR="00F16A45" w:rsidRPr="000F1F50" w:rsidRDefault="00F16A45" w:rsidP="00481903">
            <w:pPr>
              <w:pStyle w:val="TableText"/>
              <w:spacing w:line="240" w:lineRule="auto"/>
              <w:jc w:val="right"/>
              <w:cnfStyle w:val="000000100000" w:firstRow="0" w:lastRow="0" w:firstColumn="0" w:lastColumn="0" w:oddVBand="0" w:evenVBand="0" w:oddHBand="1" w:evenHBand="0" w:firstRowFirstColumn="0" w:firstRowLastColumn="0" w:lastRowFirstColumn="0" w:lastRowLastColumn="0"/>
              <w:rPr>
                <w:sz w:val="12"/>
                <w:szCs w:val="12"/>
              </w:rPr>
            </w:pPr>
          </w:p>
        </w:tc>
        <w:tc>
          <w:tcPr>
            <w:tcW w:w="823" w:type="dxa"/>
            <w:tcBorders>
              <w:left w:val="single" w:sz="4" w:space="0" w:color="auto"/>
            </w:tcBorders>
          </w:tcPr>
          <w:p w14:paraId="0E6D08FA" w14:textId="77777777" w:rsidR="00F16A45" w:rsidRPr="000F1F50" w:rsidRDefault="00F16A45" w:rsidP="00481903">
            <w:pPr>
              <w:pStyle w:val="TableText"/>
              <w:spacing w:line="240" w:lineRule="auto"/>
              <w:jc w:val="right"/>
              <w:cnfStyle w:val="000000100000" w:firstRow="0" w:lastRow="0" w:firstColumn="0" w:lastColumn="0" w:oddVBand="0" w:evenVBand="0" w:oddHBand="1" w:evenHBand="0" w:firstRowFirstColumn="0" w:firstRowLastColumn="0" w:lastRowFirstColumn="0" w:lastRowLastColumn="0"/>
              <w:rPr>
                <w:sz w:val="12"/>
                <w:szCs w:val="12"/>
              </w:rPr>
            </w:pPr>
          </w:p>
        </w:tc>
        <w:tc>
          <w:tcPr>
            <w:tcW w:w="851" w:type="dxa"/>
          </w:tcPr>
          <w:p w14:paraId="07FE15F9" w14:textId="77777777" w:rsidR="00F16A45" w:rsidRPr="000F1F50" w:rsidRDefault="00F16A45" w:rsidP="00481903">
            <w:pPr>
              <w:pStyle w:val="TableText"/>
              <w:spacing w:line="240" w:lineRule="auto"/>
              <w:jc w:val="right"/>
              <w:cnfStyle w:val="000000100000" w:firstRow="0" w:lastRow="0" w:firstColumn="0" w:lastColumn="0" w:oddVBand="0" w:evenVBand="0" w:oddHBand="1" w:evenHBand="0" w:firstRowFirstColumn="0" w:firstRowLastColumn="0" w:lastRowFirstColumn="0" w:lastRowLastColumn="0"/>
              <w:rPr>
                <w:sz w:val="12"/>
                <w:szCs w:val="12"/>
              </w:rPr>
            </w:pPr>
          </w:p>
        </w:tc>
        <w:tc>
          <w:tcPr>
            <w:tcW w:w="1276" w:type="dxa"/>
          </w:tcPr>
          <w:p w14:paraId="399D98F2" w14:textId="77777777" w:rsidR="00F16A45" w:rsidRPr="000F1F50" w:rsidRDefault="00F16A45" w:rsidP="00481903">
            <w:pPr>
              <w:pStyle w:val="TableText"/>
              <w:spacing w:line="240" w:lineRule="auto"/>
              <w:jc w:val="right"/>
              <w:cnfStyle w:val="000000100000" w:firstRow="0" w:lastRow="0" w:firstColumn="0" w:lastColumn="0" w:oddVBand="0" w:evenVBand="0" w:oddHBand="1" w:evenHBand="0" w:firstRowFirstColumn="0" w:firstRowLastColumn="0" w:lastRowFirstColumn="0" w:lastRowLastColumn="0"/>
              <w:rPr>
                <w:sz w:val="12"/>
                <w:szCs w:val="12"/>
              </w:rPr>
            </w:pPr>
          </w:p>
        </w:tc>
        <w:tc>
          <w:tcPr>
            <w:tcW w:w="1038" w:type="dxa"/>
          </w:tcPr>
          <w:p w14:paraId="6E014B30" w14:textId="77777777" w:rsidR="00F16A45" w:rsidRPr="000F1F50" w:rsidRDefault="00F16A45" w:rsidP="00481903">
            <w:pPr>
              <w:pStyle w:val="TableText"/>
              <w:spacing w:line="240" w:lineRule="auto"/>
              <w:jc w:val="right"/>
              <w:cnfStyle w:val="000000100000" w:firstRow="0" w:lastRow="0" w:firstColumn="0" w:lastColumn="0" w:oddVBand="0" w:evenVBand="0" w:oddHBand="1" w:evenHBand="0" w:firstRowFirstColumn="0" w:firstRowLastColumn="0" w:lastRowFirstColumn="0" w:lastRowLastColumn="0"/>
              <w:rPr>
                <w:sz w:val="12"/>
                <w:szCs w:val="12"/>
              </w:rPr>
            </w:pPr>
          </w:p>
        </w:tc>
      </w:tr>
      <w:tr w:rsidR="0088420A" w:rsidRPr="000F1F50" w14:paraId="68C4B293" w14:textId="77777777" w:rsidTr="0088420A">
        <w:tc>
          <w:tcPr>
            <w:cnfStyle w:val="001000000000" w:firstRow="0" w:lastRow="0" w:firstColumn="1" w:lastColumn="0" w:oddVBand="0" w:evenVBand="0" w:oddHBand="0" w:evenHBand="0" w:firstRowFirstColumn="0" w:firstRowLastColumn="0" w:lastRowFirstColumn="0" w:lastRowLastColumn="0"/>
            <w:tcW w:w="237" w:type="dxa"/>
          </w:tcPr>
          <w:p w14:paraId="1AD5A86B" w14:textId="77777777" w:rsidR="00F16A45" w:rsidRPr="000F1F50" w:rsidRDefault="00F16A45" w:rsidP="00F16A45">
            <w:pPr>
              <w:pStyle w:val="TableText"/>
              <w:spacing w:line="240" w:lineRule="auto"/>
              <w:rPr>
                <w:sz w:val="12"/>
                <w:szCs w:val="12"/>
              </w:rPr>
            </w:pPr>
          </w:p>
        </w:tc>
        <w:tc>
          <w:tcPr>
            <w:tcW w:w="756" w:type="dxa"/>
            <w:tcBorders>
              <w:right w:val="single" w:sz="4" w:space="0" w:color="auto"/>
            </w:tcBorders>
          </w:tcPr>
          <w:p w14:paraId="11AAE1A6" w14:textId="77777777" w:rsidR="00F16A45" w:rsidRPr="000F1F50" w:rsidRDefault="00F16A45" w:rsidP="00F16A45">
            <w:pPr>
              <w:pStyle w:val="TableText"/>
              <w:spacing w:line="240" w:lineRule="auto"/>
              <w:cnfStyle w:val="000000000000" w:firstRow="0" w:lastRow="0" w:firstColumn="0" w:lastColumn="0" w:oddVBand="0" w:evenVBand="0" w:oddHBand="0" w:evenHBand="0" w:firstRowFirstColumn="0" w:firstRowLastColumn="0" w:lastRowFirstColumn="0" w:lastRowLastColumn="0"/>
              <w:rPr>
                <w:sz w:val="12"/>
                <w:szCs w:val="12"/>
              </w:rPr>
            </w:pPr>
          </w:p>
        </w:tc>
        <w:tc>
          <w:tcPr>
            <w:tcW w:w="755" w:type="dxa"/>
            <w:tcBorders>
              <w:left w:val="single" w:sz="4" w:space="0" w:color="auto"/>
            </w:tcBorders>
          </w:tcPr>
          <w:p w14:paraId="639F4970" w14:textId="77777777" w:rsidR="00F16A45" w:rsidRPr="000F1F50" w:rsidRDefault="00F16A45" w:rsidP="00481903">
            <w:pPr>
              <w:pStyle w:val="TableText"/>
              <w:spacing w:line="240" w:lineRule="auto"/>
              <w:jc w:val="right"/>
              <w:cnfStyle w:val="000000000000" w:firstRow="0" w:lastRow="0" w:firstColumn="0" w:lastColumn="0" w:oddVBand="0" w:evenVBand="0" w:oddHBand="0" w:evenHBand="0" w:firstRowFirstColumn="0" w:firstRowLastColumn="0" w:lastRowFirstColumn="0" w:lastRowLastColumn="0"/>
              <w:rPr>
                <w:sz w:val="12"/>
                <w:szCs w:val="12"/>
              </w:rPr>
            </w:pPr>
          </w:p>
        </w:tc>
        <w:tc>
          <w:tcPr>
            <w:tcW w:w="425" w:type="dxa"/>
          </w:tcPr>
          <w:p w14:paraId="70D12700" w14:textId="3D71B33F" w:rsidR="00F16A45" w:rsidRPr="000F1F50" w:rsidRDefault="00481903" w:rsidP="00481903">
            <w:pPr>
              <w:pStyle w:val="TableText"/>
              <w:spacing w:line="240" w:lineRule="auto"/>
              <w:jc w:val="right"/>
              <w:cnfStyle w:val="000000000000" w:firstRow="0" w:lastRow="0" w:firstColumn="0" w:lastColumn="0" w:oddVBand="0" w:evenVBand="0" w:oddHBand="0" w:evenHBand="0" w:firstRowFirstColumn="0" w:firstRowLastColumn="0" w:lastRowFirstColumn="0" w:lastRowLastColumn="0"/>
              <w:rPr>
                <w:sz w:val="12"/>
                <w:szCs w:val="12"/>
              </w:rPr>
            </w:pPr>
            <w:r w:rsidRPr="000F1F50">
              <w:rPr>
                <w:sz w:val="12"/>
                <w:szCs w:val="12"/>
              </w:rPr>
              <w:t>407</w:t>
            </w:r>
          </w:p>
        </w:tc>
        <w:tc>
          <w:tcPr>
            <w:tcW w:w="709" w:type="dxa"/>
          </w:tcPr>
          <w:p w14:paraId="22D2189F" w14:textId="77777777" w:rsidR="00F16A45" w:rsidRPr="000F1F50" w:rsidRDefault="00F16A45" w:rsidP="00481903">
            <w:pPr>
              <w:pStyle w:val="TableText"/>
              <w:spacing w:line="240" w:lineRule="auto"/>
              <w:jc w:val="right"/>
              <w:cnfStyle w:val="000000000000" w:firstRow="0" w:lastRow="0" w:firstColumn="0" w:lastColumn="0" w:oddVBand="0" w:evenVBand="0" w:oddHBand="0" w:evenHBand="0" w:firstRowFirstColumn="0" w:firstRowLastColumn="0" w:lastRowFirstColumn="0" w:lastRowLastColumn="0"/>
              <w:rPr>
                <w:sz w:val="12"/>
                <w:szCs w:val="12"/>
              </w:rPr>
            </w:pPr>
          </w:p>
        </w:tc>
        <w:tc>
          <w:tcPr>
            <w:tcW w:w="425" w:type="dxa"/>
          </w:tcPr>
          <w:p w14:paraId="71075BB5" w14:textId="7CA25DB8" w:rsidR="00F16A45" w:rsidRPr="000F1F50" w:rsidRDefault="00481903" w:rsidP="00481903">
            <w:pPr>
              <w:pStyle w:val="TableText"/>
              <w:spacing w:line="240" w:lineRule="auto"/>
              <w:jc w:val="right"/>
              <w:cnfStyle w:val="000000000000" w:firstRow="0" w:lastRow="0" w:firstColumn="0" w:lastColumn="0" w:oddVBand="0" w:evenVBand="0" w:oddHBand="0" w:evenHBand="0" w:firstRowFirstColumn="0" w:firstRowLastColumn="0" w:lastRowFirstColumn="0" w:lastRowLastColumn="0"/>
              <w:rPr>
                <w:sz w:val="12"/>
                <w:szCs w:val="12"/>
              </w:rPr>
            </w:pPr>
            <w:r w:rsidRPr="000F1F50">
              <w:rPr>
                <w:sz w:val="12"/>
                <w:szCs w:val="12"/>
              </w:rPr>
              <w:t>747</w:t>
            </w:r>
          </w:p>
        </w:tc>
        <w:tc>
          <w:tcPr>
            <w:tcW w:w="709" w:type="dxa"/>
          </w:tcPr>
          <w:p w14:paraId="425627B0" w14:textId="77777777" w:rsidR="00F16A45" w:rsidRPr="000F1F50" w:rsidRDefault="00F16A45" w:rsidP="00481903">
            <w:pPr>
              <w:pStyle w:val="TableText"/>
              <w:spacing w:line="240" w:lineRule="auto"/>
              <w:jc w:val="right"/>
              <w:cnfStyle w:val="000000000000" w:firstRow="0" w:lastRow="0" w:firstColumn="0" w:lastColumn="0" w:oddVBand="0" w:evenVBand="0" w:oddHBand="0" w:evenHBand="0" w:firstRowFirstColumn="0" w:firstRowLastColumn="0" w:lastRowFirstColumn="0" w:lastRowLastColumn="0"/>
              <w:rPr>
                <w:sz w:val="12"/>
                <w:szCs w:val="12"/>
              </w:rPr>
            </w:pPr>
          </w:p>
        </w:tc>
        <w:tc>
          <w:tcPr>
            <w:tcW w:w="567" w:type="dxa"/>
          </w:tcPr>
          <w:p w14:paraId="7E3D6B5E" w14:textId="1DBEACB2" w:rsidR="00F16A45" w:rsidRPr="000F1F50" w:rsidRDefault="00481903" w:rsidP="00481903">
            <w:pPr>
              <w:pStyle w:val="TableText"/>
              <w:spacing w:line="240" w:lineRule="auto"/>
              <w:jc w:val="right"/>
              <w:cnfStyle w:val="000000000000" w:firstRow="0" w:lastRow="0" w:firstColumn="0" w:lastColumn="0" w:oddVBand="0" w:evenVBand="0" w:oddHBand="0" w:evenHBand="0" w:firstRowFirstColumn="0" w:firstRowLastColumn="0" w:lastRowFirstColumn="0" w:lastRowLastColumn="0"/>
              <w:rPr>
                <w:sz w:val="12"/>
                <w:szCs w:val="12"/>
              </w:rPr>
            </w:pPr>
            <w:r w:rsidRPr="000F1F50">
              <w:rPr>
                <w:sz w:val="12"/>
                <w:szCs w:val="12"/>
              </w:rPr>
              <w:t>1107</w:t>
            </w:r>
          </w:p>
        </w:tc>
        <w:tc>
          <w:tcPr>
            <w:tcW w:w="709" w:type="dxa"/>
          </w:tcPr>
          <w:p w14:paraId="154CEC96" w14:textId="77777777" w:rsidR="00F16A45" w:rsidRPr="000F1F50" w:rsidRDefault="00F16A45" w:rsidP="00481903">
            <w:pPr>
              <w:pStyle w:val="TableText"/>
              <w:spacing w:line="240" w:lineRule="auto"/>
              <w:jc w:val="right"/>
              <w:cnfStyle w:val="000000000000" w:firstRow="0" w:lastRow="0" w:firstColumn="0" w:lastColumn="0" w:oddVBand="0" w:evenVBand="0" w:oddHBand="0" w:evenHBand="0" w:firstRowFirstColumn="0" w:firstRowLastColumn="0" w:lastRowFirstColumn="0" w:lastRowLastColumn="0"/>
              <w:rPr>
                <w:sz w:val="12"/>
                <w:szCs w:val="12"/>
              </w:rPr>
            </w:pPr>
          </w:p>
        </w:tc>
        <w:tc>
          <w:tcPr>
            <w:tcW w:w="567" w:type="dxa"/>
            <w:tcBorders>
              <w:right w:val="single" w:sz="4" w:space="0" w:color="auto"/>
            </w:tcBorders>
          </w:tcPr>
          <w:p w14:paraId="431CFEA6" w14:textId="278F8173" w:rsidR="00F16A45" w:rsidRPr="000F1F50" w:rsidRDefault="00481903" w:rsidP="00481903">
            <w:pPr>
              <w:pStyle w:val="TableText"/>
              <w:spacing w:line="240" w:lineRule="auto"/>
              <w:jc w:val="right"/>
              <w:cnfStyle w:val="000000000000" w:firstRow="0" w:lastRow="0" w:firstColumn="0" w:lastColumn="0" w:oddVBand="0" w:evenVBand="0" w:oddHBand="0" w:evenHBand="0" w:firstRowFirstColumn="0" w:firstRowLastColumn="0" w:lastRowFirstColumn="0" w:lastRowLastColumn="0"/>
              <w:rPr>
                <w:sz w:val="12"/>
                <w:szCs w:val="12"/>
              </w:rPr>
            </w:pPr>
            <w:r w:rsidRPr="000F1F50">
              <w:rPr>
                <w:sz w:val="12"/>
                <w:szCs w:val="12"/>
              </w:rPr>
              <w:t>1449</w:t>
            </w:r>
          </w:p>
        </w:tc>
        <w:tc>
          <w:tcPr>
            <w:tcW w:w="662" w:type="dxa"/>
            <w:tcBorders>
              <w:left w:val="single" w:sz="4" w:space="0" w:color="auto"/>
            </w:tcBorders>
          </w:tcPr>
          <w:p w14:paraId="4A61FD12" w14:textId="77777777" w:rsidR="00F16A45" w:rsidRPr="000F1F50" w:rsidRDefault="00F16A45" w:rsidP="00481903">
            <w:pPr>
              <w:pStyle w:val="TableText"/>
              <w:spacing w:line="240" w:lineRule="auto"/>
              <w:jc w:val="right"/>
              <w:cnfStyle w:val="000000000000" w:firstRow="0" w:lastRow="0" w:firstColumn="0" w:lastColumn="0" w:oddVBand="0" w:evenVBand="0" w:oddHBand="0" w:evenHBand="0" w:firstRowFirstColumn="0" w:firstRowLastColumn="0" w:lastRowFirstColumn="0" w:lastRowLastColumn="0"/>
              <w:rPr>
                <w:sz w:val="12"/>
                <w:szCs w:val="12"/>
              </w:rPr>
            </w:pPr>
          </w:p>
        </w:tc>
        <w:tc>
          <w:tcPr>
            <w:tcW w:w="425" w:type="dxa"/>
          </w:tcPr>
          <w:p w14:paraId="2C36826B" w14:textId="5941DAEA" w:rsidR="00F16A45" w:rsidRPr="000F1F50" w:rsidRDefault="00481903" w:rsidP="00481903">
            <w:pPr>
              <w:pStyle w:val="TableText"/>
              <w:spacing w:line="240" w:lineRule="auto"/>
              <w:jc w:val="right"/>
              <w:cnfStyle w:val="000000000000" w:firstRow="0" w:lastRow="0" w:firstColumn="0" w:lastColumn="0" w:oddVBand="0" w:evenVBand="0" w:oddHBand="0" w:evenHBand="0" w:firstRowFirstColumn="0" w:firstRowLastColumn="0" w:lastRowFirstColumn="0" w:lastRowLastColumn="0"/>
              <w:rPr>
                <w:sz w:val="12"/>
                <w:szCs w:val="12"/>
              </w:rPr>
            </w:pPr>
            <w:r w:rsidRPr="000F1F50">
              <w:rPr>
                <w:sz w:val="12"/>
                <w:szCs w:val="12"/>
              </w:rPr>
              <w:t>407</w:t>
            </w:r>
          </w:p>
        </w:tc>
        <w:tc>
          <w:tcPr>
            <w:tcW w:w="755" w:type="dxa"/>
          </w:tcPr>
          <w:p w14:paraId="42360568" w14:textId="77777777" w:rsidR="00F16A45" w:rsidRPr="000F1F50" w:rsidRDefault="00F16A45" w:rsidP="00481903">
            <w:pPr>
              <w:pStyle w:val="TableText"/>
              <w:spacing w:line="240" w:lineRule="auto"/>
              <w:jc w:val="right"/>
              <w:cnfStyle w:val="000000000000" w:firstRow="0" w:lastRow="0" w:firstColumn="0" w:lastColumn="0" w:oddVBand="0" w:evenVBand="0" w:oddHBand="0" w:evenHBand="0" w:firstRowFirstColumn="0" w:firstRowLastColumn="0" w:lastRowFirstColumn="0" w:lastRowLastColumn="0"/>
              <w:rPr>
                <w:sz w:val="12"/>
                <w:szCs w:val="12"/>
              </w:rPr>
            </w:pPr>
          </w:p>
        </w:tc>
        <w:tc>
          <w:tcPr>
            <w:tcW w:w="425" w:type="dxa"/>
          </w:tcPr>
          <w:p w14:paraId="2D7A4C03" w14:textId="40E93D35" w:rsidR="00F16A45" w:rsidRPr="000F1F50" w:rsidRDefault="00481903" w:rsidP="00481903">
            <w:pPr>
              <w:pStyle w:val="TableText"/>
              <w:spacing w:line="240" w:lineRule="auto"/>
              <w:jc w:val="right"/>
              <w:cnfStyle w:val="000000000000" w:firstRow="0" w:lastRow="0" w:firstColumn="0" w:lastColumn="0" w:oddVBand="0" w:evenVBand="0" w:oddHBand="0" w:evenHBand="0" w:firstRowFirstColumn="0" w:firstRowLastColumn="0" w:lastRowFirstColumn="0" w:lastRowLastColumn="0"/>
              <w:rPr>
                <w:sz w:val="12"/>
                <w:szCs w:val="12"/>
              </w:rPr>
            </w:pPr>
            <w:r w:rsidRPr="000F1F50">
              <w:rPr>
                <w:sz w:val="12"/>
                <w:szCs w:val="12"/>
              </w:rPr>
              <w:t>747</w:t>
            </w:r>
          </w:p>
        </w:tc>
        <w:tc>
          <w:tcPr>
            <w:tcW w:w="709" w:type="dxa"/>
          </w:tcPr>
          <w:p w14:paraId="47C2D1C7" w14:textId="77777777" w:rsidR="00F16A45" w:rsidRPr="000F1F50" w:rsidRDefault="00F16A45" w:rsidP="00481903">
            <w:pPr>
              <w:pStyle w:val="TableText"/>
              <w:spacing w:line="240" w:lineRule="auto"/>
              <w:jc w:val="right"/>
              <w:cnfStyle w:val="000000000000" w:firstRow="0" w:lastRow="0" w:firstColumn="0" w:lastColumn="0" w:oddVBand="0" w:evenVBand="0" w:oddHBand="0" w:evenHBand="0" w:firstRowFirstColumn="0" w:firstRowLastColumn="0" w:lastRowFirstColumn="0" w:lastRowLastColumn="0"/>
              <w:rPr>
                <w:sz w:val="12"/>
                <w:szCs w:val="12"/>
              </w:rPr>
            </w:pPr>
          </w:p>
        </w:tc>
        <w:tc>
          <w:tcPr>
            <w:tcW w:w="567" w:type="dxa"/>
          </w:tcPr>
          <w:p w14:paraId="17F68C19" w14:textId="612385AC" w:rsidR="00F16A45" w:rsidRPr="000F1F50" w:rsidRDefault="00481903" w:rsidP="00481903">
            <w:pPr>
              <w:pStyle w:val="TableText"/>
              <w:spacing w:line="240" w:lineRule="auto"/>
              <w:jc w:val="right"/>
              <w:cnfStyle w:val="000000000000" w:firstRow="0" w:lastRow="0" w:firstColumn="0" w:lastColumn="0" w:oddVBand="0" w:evenVBand="0" w:oddHBand="0" w:evenHBand="0" w:firstRowFirstColumn="0" w:firstRowLastColumn="0" w:lastRowFirstColumn="0" w:lastRowLastColumn="0"/>
              <w:rPr>
                <w:sz w:val="12"/>
                <w:szCs w:val="12"/>
              </w:rPr>
            </w:pPr>
            <w:r w:rsidRPr="000F1F50">
              <w:rPr>
                <w:sz w:val="12"/>
                <w:szCs w:val="12"/>
              </w:rPr>
              <w:t>1107</w:t>
            </w:r>
          </w:p>
        </w:tc>
        <w:tc>
          <w:tcPr>
            <w:tcW w:w="709" w:type="dxa"/>
          </w:tcPr>
          <w:p w14:paraId="68695586" w14:textId="77777777" w:rsidR="00F16A45" w:rsidRPr="000F1F50" w:rsidRDefault="00F16A45" w:rsidP="00481903">
            <w:pPr>
              <w:pStyle w:val="TableText"/>
              <w:spacing w:line="240" w:lineRule="auto"/>
              <w:jc w:val="right"/>
              <w:cnfStyle w:val="000000000000" w:firstRow="0" w:lastRow="0" w:firstColumn="0" w:lastColumn="0" w:oddVBand="0" w:evenVBand="0" w:oddHBand="0" w:evenHBand="0" w:firstRowFirstColumn="0" w:firstRowLastColumn="0" w:lastRowFirstColumn="0" w:lastRowLastColumn="0"/>
              <w:rPr>
                <w:sz w:val="12"/>
                <w:szCs w:val="12"/>
              </w:rPr>
            </w:pPr>
          </w:p>
        </w:tc>
        <w:tc>
          <w:tcPr>
            <w:tcW w:w="548" w:type="dxa"/>
            <w:tcBorders>
              <w:right w:val="single" w:sz="4" w:space="0" w:color="auto"/>
            </w:tcBorders>
          </w:tcPr>
          <w:p w14:paraId="2C02E998" w14:textId="5578BEF7" w:rsidR="00F16A45" w:rsidRPr="000F1F50" w:rsidRDefault="00481903" w:rsidP="00481903">
            <w:pPr>
              <w:pStyle w:val="TableText"/>
              <w:spacing w:line="240" w:lineRule="auto"/>
              <w:jc w:val="right"/>
              <w:cnfStyle w:val="000000000000" w:firstRow="0" w:lastRow="0" w:firstColumn="0" w:lastColumn="0" w:oddVBand="0" w:evenVBand="0" w:oddHBand="0" w:evenHBand="0" w:firstRowFirstColumn="0" w:firstRowLastColumn="0" w:lastRowFirstColumn="0" w:lastRowLastColumn="0"/>
              <w:rPr>
                <w:sz w:val="12"/>
                <w:szCs w:val="12"/>
              </w:rPr>
            </w:pPr>
            <w:r w:rsidRPr="000F1F50">
              <w:rPr>
                <w:sz w:val="12"/>
                <w:szCs w:val="12"/>
              </w:rPr>
              <w:t>1149</w:t>
            </w:r>
          </w:p>
        </w:tc>
        <w:tc>
          <w:tcPr>
            <w:tcW w:w="823" w:type="dxa"/>
            <w:tcBorders>
              <w:left w:val="single" w:sz="4" w:space="0" w:color="auto"/>
            </w:tcBorders>
          </w:tcPr>
          <w:p w14:paraId="06C845FD" w14:textId="77777777" w:rsidR="00F16A45" w:rsidRPr="000F1F50" w:rsidRDefault="00F16A45" w:rsidP="00481903">
            <w:pPr>
              <w:pStyle w:val="TableText"/>
              <w:spacing w:line="240" w:lineRule="auto"/>
              <w:jc w:val="right"/>
              <w:cnfStyle w:val="000000000000" w:firstRow="0" w:lastRow="0" w:firstColumn="0" w:lastColumn="0" w:oddVBand="0" w:evenVBand="0" w:oddHBand="0" w:evenHBand="0" w:firstRowFirstColumn="0" w:firstRowLastColumn="0" w:lastRowFirstColumn="0" w:lastRowLastColumn="0"/>
              <w:rPr>
                <w:sz w:val="12"/>
                <w:szCs w:val="12"/>
              </w:rPr>
            </w:pPr>
          </w:p>
        </w:tc>
        <w:tc>
          <w:tcPr>
            <w:tcW w:w="851" w:type="dxa"/>
          </w:tcPr>
          <w:p w14:paraId="4C319F40" w14:textId="77777777" w:rsidR="00F16A45" w:rsidRPr="000F1F50" w:rsidRDefault="00F16A45" w:rsidP="00481903">
            <w:pPr>
              <w:pStyle w:val="TableText"/>
              <w:spacing w:line="240" w:lineRule="auto"/>
              <w:jc w:val="right"/>
              <w:cnfStyle w:val="000000000000" w:firstRow="0" w:lastRow="0" w:firstColumn="0" w:lastColumn="0" w:oddVBand="0" w:evenVBand="0" w:oddHBand="0" w:evenHBand="0" w:firstRowFirstColumn="0" w:firstRowLastColumn="0" w:lastRowFirstColumn="0" w:lastRowLastColumn="0"/>
              <w:rPr>
                <w:sz w:val="12"/>
                <w:szCs w:val="12"/>
              </w:rPr>
            </w:pPr>
          </w:p>
        </w:tc>
        <w:tc>
          <w:tcPr>
            <w:tcW w:w="1276" w:type="dxa"/>
          </w:tcPr>
          <w:p w14:paraId="26B737C3" w14:textId="77777777" w:rsidR="00F16A45" w:rsidRPr="000F1F50" w:rsidRDefault="00F16A45" w:rsidP="00481903">
            <w:pPr>
              <w:pStyle w:val="TableText"/>
              <w:spacing w:line="240" w:lineRule="auto"/>
              <w:jc w:val="right"/>
              <w:cnfStyle w:val="000000000000" w:firstRow="0" w:lastRow="0" w:firstColumn="0" w:lastColumn="0" w:oddVBand="0" w:evenVBand="0" w:oddHBand="0" w:evenHBand="0" w:firstRowFirstColumn="0" w:firstRowLastColumn="0" w:lastRowFirstColumn="0" w:lastRowLastColumn="0"/>
              <w:rPr>
                <w:sz w:val="12"/>
                <w:szCs w:val="12"/>
              </w:rPr>
            </w:pPr>
          </w:p>
        </w:tc>
        <w:tc>
          <w:tcPr>
            <w:tcW w:w="1038" w:type="dxa"/>
          </w:tcPr>
          <w:p w14:paraId="5DE301B0" w14:textId="77777777" w:rsidR="00F16A45" w:rsidRPr="000F1F50" w:rsidRDefault="00F16A45" w:rsidP="00481903">
            <w:pPr>
              <w:pStyle w:val="TableText"/>
              <w:spacing w:line="240" w:lineRule="auto"/>
              <w:jc w:val="right"/>
              <w:cnfStyle w:val="000000000000" w:firstRow="0" w:lastRow="0" w:firstColumn="0" w:lastColumn="0" w:oddVBand="0" w:evenVBand="0" w:oddHBand="0" w:evenHBand="0" w:firstRowFirstColumn="0" w:firstRowLastColumn="0" w:lastRowFirstColumn="0" w:lastRowLastColumn="0"/>
              <w:rPr>
                <w:sz w:val="12"/>
                <w:szCs w:val="12"/>
              </w:rPr>
            </w:pPr>
          </w:p>
        </w:tc>
      </w:tr>
    </w:tbl>
    <w:p w14:paraId="52382B77" w14:textId="11B4FEC7" w:rsidR="001F6251" w:rsidRPr="000F1F50" w:rsidRDefault="002453AF" w:rsidP="000F1F50">
      <w:pPr>
        <w:spacing w:after="0" w:line="240" w:lineRule="auto"/>
        <w:rPr>
          <w:sz w:val="2"/>
          <w:szCs w:val="2"/>
          <w:lang w:val="en-AU"/>
        </w:rPr>
        <w:sectPr w:rsidR="001F6251" w:rsidRPr="000F1F50" w:rsidSect="000F1F50">
          <w:headerReference w:type="default" r:id="rId13"/>
          <w:headerReference w:type="first" r:id="rId14"/>
          <w:pgSz w:w="16840" w:h="11900" w:orient="landscape"/>
          <w:pgMar w:top="794" w:right="964" w:bottom="680" w:left="1077" w:header="709" w:footer="302" w:gutter="0"/>
          <w:cols w:space="720"/>
          <w:titlePg/>
          <w:docGrid w:linePitch="360"/>
        </w:sectPr>
      </w:pPr>
      <w:r w:rsidRPr="000F1F50">
        <w:rPr>
          <w:sz w:val="2"/>
          <w:szCs w:val="2"/>
          <w:lang w:val="en-AU"/>
        </w:rPr>
        <w:br w:type="page"/>
      </w:r>
    </w:p>
    <w:p w14:paraId="242439F7" w14:textId="70741CC6" w:rsidR="002453AF" w:rsidRPr="005821A9" w:rsidRDefault="00204ADC" w:rsidP="00204ADC">
      <w:pPr>
        <w:pStyle w:val="Heading1"/>
        <w:numPr>
          <w:ilvl w:val="0"/>
          <w:numId w:val="0"/>
        </w:numPr>
        <w:ind w:left="720" w:hanging="720"/>
      </w:pPr>
      <w:bookmarkStart w:id="45" w:name="_Toc114465581"/>
      <w:r>
        <w:lastRenderedPageBreak/>
        <w:t>A</w:t>
      </w:r>
      <w:r w:rsidR="00FB1B1C">
        <w:t>ppendix</w:t>
      </w:r>
      <w:r>
        <w:t xml:space="preserve"> 2</w:t>
      </w:r>
      <w:bookmarkEnd w:id="45"/>
    </w:p>
    <w:p w14:paraId="67B15987" w14:textId="7739399D" w:rsidR="002453AF" w:rsidRDefault="00204ADC" w:rsidP="00362BDA">
      <w:pPr>
        <w:pStyle w:val="Heading2"/>
        <w:numPr>
          <w:ilvl w:val="0"/>
          <w:numId w:val="0"/>
        </w:numPr>
        <w:ind w:left="576" w:hanging="576"/>
      </w:pPr>
      <w:bookmarkStart w:id="46" w:name="_Toc113880176"/>
      <w:bookmarkStart w:id="47" w:name="_Toc114465582"/>
      <w:r>
        <w:t>Minimum banking requirements</w:t>
      </w:r>
      <w:bookmarkEnd w:id="46"/>
      <w:bookmarkEnd w:id="47"/>
    </w:p>
    <w:p w14:paraId="02C8EAE1" w14:textId="784AEC90" w:rsidR="00204ADC" w:rsidRDefault="00204ADC" w:rsidP="0081733D">
      <w:r>
        <w:t>A venue operator must have procedures in place to monitor the adequacy of amounts in the nominated gaming account to ensure a minimum level of banking is maintained to cover the expected tax liability at the conclusion of the month.</w:t>
      </w:r>
    </w:p>
    <w:p w14:paraId="6D62462C" w14:textId="406DCABF" w:rsidR="00204ADC" w:rsidRDefault="00204ADC" w:rsidP="0081733D">
      <w:r>
        <w:t>Recommended procedures to assist a gaming venue in ensuring adherence to this requirement include applying the following at regular intervals through the month:</w:t>
      </w:r>
    </w:p>
    <w:p w14:paraId="4F07D754" w14:textId="4D20F0BC" w:rsidR="00204ADC" w:rsidRDefault="00362BDA" w:rsidP="00362BDA">
      <w:pPr>
        <w:pStyle w:val="Bullet1"/>
      </w:pPr>
      <w:r>
        <w:t>C</w:t>
      </w:r>
      <w:r w:rsidR="00204ADC">
        <w:t xml:space="preserve">alculating and depositing the projected gaming tax payable by applying a pro-rated tax calculation </w:t>
      </w:r>
      <w:r w:rsidR="00204ADC" w:rsidRPr="00362BDA">
        <w:rPr>
          <w:b/>
          <w:bCs/>
        </w:rPr>
        <w:t>or</w:t>
      </w:r>
    </w:p>
    <w:p w14:paraId="194077AB" w14:textId="03BECC60" w:rsidR="00204ADC" w:rsidRDefault="00362BDA" w:rsidP="00362BDA">
      <w:pPr>
        <w:pStyle w:val="Bullet1"/>
      </w:pPr>
      <w:r>
        <w:t>A</w:t>
      </w:r>
      <w:r w:rsidR="00204ADC">
        <w:t xml:space="preserve">llocating a fixed percentage of gaming revenue to the nominated gaming account, which is expected to cover the projected gaming tax obligation, </w:t>
      </w:r>
      <w:r w:rsidR="008D65E9">
        <w:t>e.g.,</w:t>
      </w:r>
      <w:r w:rsidR="00204ADC">
        <w:t xml:space="preserve"> fixed 60% of revenue.</w:t>
      </w:r>
    </w:p>
    <w:p w14:paraId="5F698AEC" w14:textId="6844591A" w:rsidR="00362BDA" w:rsidRDefault="00362BDA" w:rsidP="00362BDA">
      <w:pPr>
        <w:rPr>
          <w:lang w:val="en-AU"/>
        </w:rPr>
      </w:pPr>
      <w:r>
        <w:rPr>
          <w:lang w:val="en-AU"/>
        </w:rPr>
        <w:t>Amounts determined as minimum banking deposits must be maintained until after the payment of gaming taxes at the conclusion of the month.</w:t>
      </w:r>
    </w:p>
    <w:p w14:paraId="211B1B41" w14:textId="5276A608" w:rsidR="00362BDA" w:rsidRDefault="00362BDA" w:rsidP="00362BDA">
      <w:pPr>
        <w:pStyle w:val="TableLabel"/>
      </w:pPr>
      <w:r>
        <w:t>Pro-rated tax calculation</w:t>
      </w:r>
    </w:p>
    <w:tbl>
      <w:tblPr>
        <w:tblStyle w:val="TableGrid"/>
        <w:tblW w:w="0" w:type="auto"/>
        <w:tblLook w:val="04A0" w:firstRow="1" w:lastRow="0" w:firstColumn="1" w:lastColumn="0" w:noHBand="0" w:noVBand="1"/>
      </w:tblPr>
      <w:tblGrid>
        <w:gridCol w:w="944"/>
        <w:gridCol w:w="1114"/>
        <w:gridCol w:w="1029"/>
        <w:gridCol w:w="1383"/>
        <w:gridCol w:w="1075"/>
        <w:gridCol w:w="1383"/>
        <w:gridCol w:w="1049"/>
        <w:gridCol w:w="1049"/>
        <w:gridCol w:w="1172"/>
      </w:tblGrid>
      <w:tr w:rsidR="00362BDA" w14:paraId="7B812196" w14:textId="77777777" w:rsidTr="00362BD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3" w:type="dxa"/>
          </w:tcPr>
          <w:p w14:paraId="189460AB" w14:textId="087DD6D4" w:rsidR="00362BDA" w:rsidRDefault="00362BDA" w:rsidP="00362BDA">
            <w:pPr>
              <w:pStyle w:val="TableHeader"/>
            </w:pPr>
            <w:r>
              <w:t>Date</w:t>
            </w:r>
          </w:p>
        </w:tc>
        <w:tc>
          <w:tcPr>
            <w:tcW w:w="1133" w:type="dxa"/>
          </w:tcPr>
          <w:p w14:paraId="0F4D3C84" w14:textId="11AE4E4F" w:rsidR="00362BDA" w:rsidRDefault="00362BDA" w:rsidP="00362BDA">
            <w:pPr>
              <w:pStyle w:val="TableHeader"/>
              <w:cnfStyle w:val="100000000000" w:firstRow="1" w:lastRow="0" w:firstColumn="0" w:lastColumn="0" w:oddVBand="0" w:evenVBand="0" w:oddHBand="0" w:evenHBand="0" w:firstRowFirstColumn="0" w:firstRowLastColumn="0" w:lastRowFirstColumn="0" w:lastRowLastColumn="0"/>
            </w:pPr>
            <w:r>
              <w:t>Turnover</w:t>
            </w:r>
          </w:p>
        </w:tc>
        <w:tc>
          <w:tcPr>
            <w:tcW w:w="1133" w:type="dxa"/>
          </w:tcPr>
          <w:p w14:paraId="211756DE" w14:textId="11BA9523" w:rsidR="00362BDA" w:rsidRDefault="00362BDA" w:rsidP="00362BDA">
            <w:pPr>
              <w:pStyle w:val="TableHeader"/>
              <w:cnfStyle w:val="100000000000" w:firstRow="1" w:lastRow="0" w:firstColumn="0" w:lastColumn="0" w:oddVBand="0" w:evenVBand="0" w:oddHBand="0" w:evenHBand="0" w:firstRowFirstColumn="0" w:firstRowLastColumn="0" w:lastRowFirstColumn="0" w:lastRowLastColumn="0"/>
            </w:pPr>
            <w:r>
              <w:t>Credit win</w:t>
            </w:r>
          </w:p>
        </w:tc>
        <w:tc>
          <w:tcPr>
            <w:tcW w:w="1133" w:type="dxa"/>
          </w:tcPr>
          <w:p w14:paraId="176C3DFF" w14:textId="539E1FD0" w:rsidR="00362BDA" w:rsidRDefault="00362BDA" w:rsidP="00362BDA">
            <w:pPr>
              <w:pStyle w:val="TableHeader"/>
              <w:cnfStyle w:val="100000000000" w:firstRow="1" w:lastRow="0" w:firstColumn="0" w:lastColumn="0" w:oddVBand="0" w:evenVBand="0" w:oddHBand="0" w:evenHBand="0" w:firstRowFirstColumn="0" w:firstRowLastColumn="0" w:lastRowFirstColumn="0" w:lastRowLastColumn="0"/>
            </w:pPr>
            <w:r>
              <w:t>Jackpot contribution</w:t>
            </w:r>
          </w:p>
        </w:tc>
        <w:tc>
          <w:tcPr>
            <w:tcW w:w="1133" w:type="dxa"/>
          </w:tcPr>
          <w:p w14:paraId="2E930DB8" w14:textId="7D4F187E" w:rsidR="00362BDA" w:rsidRDefault="00362BDA" w:rsidP="00362BDA">
            <w:pPr>
              <w:pStyle w:val="TableHeader"/>
              <w:cnfStyle w:val="100000000000" w:firstRow="1" w:lastRow="0" w:firstColumn="0" w:lastColumn="0" w:oddVBand="0" w:evenVBand="0" w:oddHBand="0" w:evenHBand="0" w:firstRowFirstColumn="0" w:firstRowLastColumn="0" w:lastRowFirstColumn="0" w:lastRowLastColumn="0"/>
            </w:pPr>
            <w:r>
              <w:t>Net revenue</w:t>
            </w:r>
          </w:p>
        </w:tc>
        <w:tc>
          <w:tcPr>
            <w:tcW w:w="1133" w:type="dxa"/>
          </w:tcPr>
          <w:p w14:paraId="5A821A84" w14:textId="0CC7BC82" w:rsidR="00362BDA" w:rsidRDefault="00362BDA" w:rsidP="00362BDA">
            <w:pPr>
              <w:pStyle w:val="TableHeader"/>
              <w:cnfStyle w:val="100000000000" w:firstRow="1" w:lastRow="0" w:firstColumn="0" w:lastColumn="0" w:oddVBand="0" w:evenVBand="0" w:oddHBand="0" w:evenHBand="0" w:firstRowFirstColumn="0" w:firstRowLastColumn="0" w:lastRowFirstColumn="0" w:lastRowLastColumn="0"/>
            </w:pPr>
            <w:r>
              <w:t>Entitlement*</w:t>
            </w:r>
          </w:p>
        </w:tc>
        <w:tc>
          <w:tcPr>
            <w:tcW w:w="1133" w:type="dxa"/>
          </w:tcPr>
          <w:p w14:paraId="4C402F84" w14:textId="21F6EC1A" w:rsidR="00362BDA" w:rsidRDefault="00362BDA" w:rsidP="00362BDA">
            <w:pPr>
              <w:pStyle w:val="TableHeader"/>
              <w:cnfStyle w:val="100000000000" w:firstRow="1" w:lastRow="0" w:firstColumn="0" w:lastColumn="0" w:oddVBand="0" w:evenVBand="0" w:oddHBand="0" w:evenHBand="0" w:firstRowFirstColumn="0" w:firstRowLastColumn="0" w:lastRowFirstColumn="0" w:lastRowLastColumn="0"/>
            </w:pPr>
            <w:r>
              <w:t>NR/Ent</w:t>
            </w:r>
          </w:p>
        </w:tc>
        <w:tc>
          <w:tcPr>
            <w:tcW w:w="1133" w:type="dxa"/>
          </w:tcPr>
          <w:p w14:paraId="556BB491" w14:textId="083EC821" w:rsidR="00362BDA" w:rsidRDefault="00362BDA" w:rsidP="00362BDA">
            <w:pPr>
              <w:pStyle w:val="TableHeader"/>
              <w:cnfStyle w:val="100000000000" w:firstRow="1" w:lastRow="0" w:firstColumn="0" w:lastColumn="0" w:oddVBand="0" w:evenVBand="0" w:oddHBand="0" w:evenHBand="0" w:firstRowFirstColumn="0" w:firstRowLastColumn="0" w:lastRowFirstColumn="0" w:lastRowLastColumn="0"/>
            </w:pPr>
            <w:r>
              <w:t>Tax per EGM</w:t>
            </w:r>
          </w:p>
        </w:tc>
        <w:tc>
          <w:tcPr>
            <w:tcW w:w="1134" w:type="dxa"/>
          </w:tcPr>
          <w:p w14:paraId="1FFB01CF" w14:textId="046B7221" w:rsidR="00362BDA" w:rsidRDefault="00362BDA" w:rsidP="00362BDA">
            <w:pPr>
              <w:pStyle w:val="TableHeader"/>
              <w:cnfStyle w:val="100000000000" w:firstRow="1" w:lastRow="0" w:firstColumn="0" w:lastColumn="0" w:oddVBand="0" w:evenVBand="0" w:oddHBand="0" w:evenHBand="0" w:firstRowFirstColumn="0" w:firstRowLastColumn="0" w:lastRowFirstColumn="0" w:lastRowLastColumn="0"/>
            </w:pPr>
            <w:r>
              <w:t>Estimated tax</w:t>
            </w:r>
          </w:p>
        </w:tc>
      </w:tr>
      <w:tr w:rsidR="00362BDA" w14:paraId="07219392" w14:textId="77777777" w:rsidTr="00362B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3" w:type="dxa"/>
          </w:tcPr>
          <w:p w14:paraId="23F26AF5" w14:textId="4321A5F0" w:rsidR="00362BDA" w:rsidRDefault="00362BDA" w:rsidP="00362BDA">
            <w:pPr>
              <w:pStyle w:val="TableText"/>
            </w:pPr>
            <w:r>
              <w:t xml:space="preserve">1-7 Feb </w:t>
            </w:r>
            <w:r w:rsidR="00FB1B1C">
              <w:t>2022</w:t>
            </w:r>
          </w:p>
        </w:tc>
        <w:tc>
          <w:tcPr>
            <w:tcW w:w="1133" w:type="dxa"/>
          </w:tcPr>
          <w:p w14:paraId="25FE0F66" w14:textId="2D7AAE40" w:rsidR="00362BDA" w:rsidRDefault="00362BDA" w:rsidP="00362BDA">
            <w:pPr>
              <w:pStyle w:val="TableText"/>
              <w:jc w:val="right"/>
              <w:cnfStyle w:val="000000100000" w:firstRow="0" w:lastRow="0" w:firstColumn="0" w:lastColumn="0" w:oddVBand="0" w:evenVBand="0" w:oddHBand="1" w:evenHBand="0" w:firstRowFirstColumn="0" w:firstRowLastColumn="0" w:lastRowFirstColumn="0" w:lastRowLastColumn="0"/>
            </w:pPr>
            <w:r>
              <w:t>265,000</w:t>
            </w:r>
          </w:p>
        </w:tc>
        <w:tc>
          <w:tcPr>
            <w:tcW w:w="1133" w:type="dxa"/>
          </w:tcPr>
          <w:p w14:paraId="1EA18018" w14:textId="00C80AF1" w:rsidR="00362BDA" w:rsidRDefault="00362BDA" w:rsidP="00362BDA">
            <w:pPr>
              <w:pStyle w:val="TableText"/>
              <w:jc w:val="right"/>
              <w:cnfStyle w:val="000000100000" w:firstRow="0" w:lastRow="0" w:firstColumn="0" w:lastColumn="0" w:oddVBand="0" w:evenVBand="0" w:oddHBand="1" w:evenHBand="0" w:firstRowFirstColumn="0" w:firstRowLastColumn="0" w:lastRowFirstColumn="0" w:lastRowLastColumn="0"/>
            </w:pPr>
            <w:r>
              <w:t>100,000</w:t>
            </w:r>
          </w:p>
        </w:tc>
        <w:tc>
          <w:tcPr>
            <w:tcW w:w="1133" w:type="dxa"/>
          </w:tcPr>
          <w:p w14:paraId="34BBC980" w14:textId="7F032733" w:rsidR="00362BDA" w:rsidRDefault="00362BDA" w:rsidP="00362BDA">
            <w:pPr>
              <w:pStyle w:val="TableText"/>
              <w:jc w:val="right"/>
              <w:cnfStyle w:val="000000100000" w:firstRow="0" w:lastRow="0" w:firstColumn="0" w:lastColumn="0" w:oddVBand="0" w:evenVBand="0" w:oddHBand="1" w:evenHBand="0" w:firstRowFirstColumn="0" w:firstRowLastColumn="0" w:lastRowFirstColumn="0" w:lastRowLastColumn="0"/>
            </w:pPr>
            <w:r>
              <w:t>5,000</w:t>
            </w:r>
          </w:p>
        </w:tc>
        <w:tc>
          <w:tcPr>
            <w:tcW w:w="1133" w:type="dxa"/>
          </w:tcPr>
          <w:p w14:paraId="232DF07E" w14:textId="1035003A" w:rsidR="00362BDA" w:rsidRDefault="00362BDA" w:rsidP="00362BDA">
            <w:pPr>
              <w:pStyle w:val="TableText"/>
              <w:jc w:val="right"/>
              <w:cnfStyle w:val="000000100000" w:firstRow="0" w:lastRow="0" w:firstColumn="0" w:lastColumn="0" w:oddVBand="0" w:evenVBand="0" w:oddHBand="1" w:evenHBand="0" w:firstRowFirstColumn="0" w:firstRowLastColumn="0" w:lastRowFirstColumn="0" w:lastRowLastColumn="0"/>
            </w:pPr>
            <w:r>
              <w:t>160,000</w:t>
            </w:r>
          </w:p>
        </w:tc>
        <w:tc>
          <w:tcPr>
            <w:tcW w:w="1133" w:type="dxa"/>
          </w:tcPr>
          <w:p w14:paraId="346FE612" w14:textId="7725E91B" w:rsidR="00362BDA" w:rsidRDefault="00362BDA" w:rsidP="00362BDA">
            <w:pPr>
              <w:pStyle w:val="TableText"/>
              <w:jc w:val="right"/>
              <w:cnfStyle w:val="000000100000" w:firstRow="0" w:lastRow="0" w:firstColumn="0" w:lastColumn="0" w:oddVBand="0" w:evenVBand="0" w:oddHBand="1" w:evenHBand="0" w:firstRowFirstColumn="0" w:firstRowLastColumn="0" w:lastRowFirstColumn="0" w:lastRowLastColumn="0"/>
            </w:pPr>
            <w:r>
              <w:t>18.07</w:t>
            </w:r>
          </w:p>
        </w:tc>
        <w:tc>
          <w:tcPr>
            <w:tcW w:w="1133" w:type="dxa"/>
          </w:tcPr>
          <w:p w14:paraId="43DA0147" w14:textId="111F218B" w:rsidR="00362BDA" w:rsidRDefault="00362BDA" w:rsidP="00362BDA">
            <w:pPr>
              <w:pStyle w:val="TableText"/>
              <w:jc w:val="right"/>
              <w:cnfStyle w:val="000000100000" w:firstRow="0" w:lastRow="0" w:firstColumn="0" w:lastColumn="0" w:oddVBand="0" w:evenVBand="0" w:oddHBand="1" w:evenHBand="0" w:firstRowFirstColumn="0" w:firstRowLastColumn="0" w:lastRowFirstColumn="0" w:lastRowLastColumn="0"/>
            </w:pPr>
            <w:r>
              <w:t>8,854.45</w:t>
            </w:r>
          </w:p>
        </w:tc>
        <w:tc>
          <w:tcPr>
            <w:tcW w:w="1133" w:type="dxa"/>
          </w:tcPr>
          <w:p w14:paraId="1D6FD83D" w14:textId="41DD6C58" w:rsidR="00362BDA" w:rsidRDefault="00362BDA" w:rsidP="00362BDA">
            <w:pPr>
              <w:pStyle w:val="TableText"/>
              <w:jc w:val="right"/>
              <w:cnfStyle w:val="000000100000" w:firstRow="0" w:lastRow="0" w:firstColumn="0" w:lastColumn="0" w:oddVBand="0" w:evenVBand="0" w:oddHBand="1" w:evenHBand="0" w:firstRowFirstColumn="0" w:firstRowLastColumn="0" w:lastRowFirstColumn="0" w:lastRowLastColumn="0"/>
            </w:pPr>
            <w:r>
              <w:t>2,890.01</w:t>
            </w:r>
          </w:p>
        </w:tc>
        <w:tc>
          <w:tcPr>
            <w:tcW w:w="1134" w:type="dxa"/>
          </w:tcPr>
          <w:p w14:paraId="66C74EA9" w14:textId="2F94E585" w:rsidR="00362BDA" w:rsidRDefault="00362BDA" w:rsidP="00362BDA">
            <w:pPr>
              <w:pStyle w:val="TableText"/>
              <w:jc w:val="right"/>
              <w:cnfStyle w:val="000000100000" w:firstRow="0" w:lastRow="0" w:firstColumn="0" w:lastColumn="0" w:oddVBand="0" w:evenVBand="0" w:oddHBand="1" w:evenHBand="0" w:firstRowFirstColumn="0" w:firstRowLastColumn="0" w:lastRowFirstColumn="0" w:lastRowLastColumn="0"/>
            </w:pPr>
            <w:r>
              <w:t>52,222.45</w:t>
            </w:r>
          </w:p>
        </w:tc>
      </w:tr>
      <w:tr w:rsidR="00362BDA" w14:paraId="12B420B2" w14:textId="77777777" w:rsidTr="00362BDA">
        <w:tc>
          <w:tcPr>
            <w:cnfStyle w:val="001000000000" w:firstRow="0" w:lastRow="0" w:firstColumn="1" w:lastColumn="0" w:oddVBand="0" w:evenVBand="0" w:oddHBand="0" w:evenHBand="0" w:firstRowFirstColumn="0" w:firstRowLastColumn="0" w:lastRowFirstColumn="0" w:lastRowLastColumn="0"/>
            <w:tcW w:w="1133" w:type="dxa"/>
          </w:tcPr>
          <w:p w14:paraId="2E270A47" w14:textId="77777777" w:rsidR="00362BDA" w:rsidRDefault="00362BDA" w:rsidP="00362BDA">
            <w:pPr>
              <w:pStyle w:val="TableText"/>
            </w:pPr>
          </w:p>
        </w:tc>
        <w:tc>
          <w:tcPr>
            <w:tcW w:w="1133" w:type="dxa"/>
          </w:tcPr>
          <w:p w14:paraId="2AC20F26" w14:textId="77777777" w:rsidR="00362BDA" w:rsidRDefault="00362BDA" w:rsidP="00362BDA">
            <w:pPr>
              <w:pStyle w:val="TableText"/>
              <w:jc w:val="right"/>
              <w:cnfStyle w:val="000000000000" w:firstRow="0" w:lastRow="0" w:firstColumn="0" w:lastColumn="0" w:oddVBand="0" w:evenVBand="0" w:oddHBand="0" w:evenHBand="0" w:firstRowFirstColumn="0" w:firstRowLastColumn="0" w:lastRowFirstColumn="0" w:lastRowLastColumn="0"/>
            </w:pPr>
          </w:p>
        </w:tc>
        <w:tc>
          <w:tcPr>
            <w:tcW w:w="1133" w:type="dxa"/>
          </w:tcPr>
          <w:p w14:paraId="71CBF7F9" w14:textId="77777777" w:rsidR="00362BDA" w:rsidRDefault="00362BDA" w:rsidP="00362BDA">
            <w:pPr>
              <w:pStyle w:val="TableText"/>
              <w:jc w:val="right"/>
              <w:cnfStyle w:val="000000000000" w:firstRow="0" w:lastRow="0" w:firstColumn="0" w:lastColumn="0" w:oddVBand="0" w:evenVBand="0" w:oddHBand="0" w:evenHBand="0" w:firstRowFirstColumn="0" w:firstRowLastColumn="0" w:lastRowFirstColumn="0" w:lastRowLastColumn="0"/>
            </w:pPr>
          </w:p>
        </w:tc>
        <w:tc>
          <w:tcPr>
            <w:tcW w:w="1133" w:type="dxa"/>
          </w:tcPr>
          <w:p w14:paraId="38F4FD20" w14:textId="77777777" w:rsidR="00362BDA" w:rsidRDefault="00362BDA" w:rsidP="00362BDA">
            <w:pPr>
              <w:pStyle w:val="TableText"/>
              <w:jc w:val="right"/>
              <w:cnfStyle w:val="000000000000" w:firstRow="0" w:lastRow="0" w:firstColumn="0" w:lastColumn="0" w:oddVBand="0" w:evenVBand="0" w:oddHBand="0" w:evenHBand="0" w:firstRowFirstColumn="0" w:firstRowLastColumn="0" w:lastRowFirstColumn="0" w:lastRowLastColumn="0"/>
            </w:pPr>
          </w:p>
        </w:tc>
        <w:tc>
          <w:tcPr>
            <w:tcW w:w="1133" w:type="dxa"/>
          </w:tcPr>
          <w:p w14:paraId="299F7D3B" w14:textId="77777777" w:rsidR="00362BDA" w:rsidRDefault="00362BDA" w:rsidP="00362BDA">
            <w:pPr>
              <w:pStyle w:val="TableText"/>
              <w:jc w:val="right"/>
              <w:cnfStyle w:val="000000000000" w:firstRow="0" w:lastRow="0" w:firstColumn="0" w:lastColumn="0" w:oddVBand="0" w:evenVBand="0" w:oddHBand="0" w:evenHBand="0" w:firstRowFirstColumn="0" w:firstRowLastColumn="0" w:lastRowFirstColumn="0" w:lastRowLastColumn="0"/>
            </w:pPr>
          </w:p>
        </w:tc>
        <w:tc>
          <w:tcPr>
            <w:tcW w:w="1133" w:type="dxa"/>
          </w:tcPr>
          <w:p w14:paraId="66941AA5" w14:textId="77777777" w:rsidR="00362BDA" w:rsidRDefault="00362BDA" w:rsidP="00362BDA">
            <w:pPr>
              <w:pStyle w:val="TableText"/>
              <w:jc w:val="right"/>
              <w:cnfStyle w:val="000000000000" w:firstRow="0" w:lastRow="0" w:firstColumn="0" w:lastColumn="0" w:oddVBand="0" w:evenVBand="0" w:oddHBand="0" w:evenHBand="0" w:firstRowFirstColumn="0" w:firstRowLastColumn="0" w:lastRowFirstColumn="0" w:lastRowLastColumn="0"/>
            </w:pPr>
          </w:p>
        </w:tc>
        <w:tc>
          <w:tcPr>
            <w:tcW w:w="1133" w:type="dxa"/>
          </w:tcPr>
          <w:p w14:paraId="5ACF2074" w14:textId="77777777" w:rsidR="00362BDA" w:rsidRDefault="00362BDA" w:rsidP="00362BDA">
            <w:pPr>
              <w:pStyle w:val="TableText"/>
              <w:jc w:val="right"/>
              <w:cnfStyle w:val="000000000000" w:firstRow="0" w:lastRow="0" w:firstColumn="0" w:lastColumn="0" w:oddVBand="0" w:evenVBand="0" w:oddHBand="0" w:evenHBand="0" w:firstRowFirstColumn="0" w:firstRowLastColumn="0" w:lastRowFirstColumn="0" w:lastRowLastColumn="0"/>
            </w:pPr>
          </w:p>
        </w:tc>
        <w:tc>
          <w:tcPr>
            <w:tcW w:w="1133" w:type="dxa"/>
          </w:tcPr>
          <w:p w14:paraId="571CED49" w14:textId="77777777" w:rsidR="00362BDA" w:rsidRDefault="00362BDA" w:rsidP="00362BDA">
            <w:pPr>
              <w:pStyle w:val="TableText"/>
              <w:jc w:val="right"/>
              <w:cnfStyle w:val="000000000000" w:firstRow="0" w:lastRow="0" w:firstColumn="0" w:lastColumn="0" w:oddVBand="0" w:evenVBand="0" w:oddHBand="0" w:evenHBand="0" w:firstRowFirstColumn="0" w:firstRowLastColumn="0" w:lastRowFirstColumn="0" w:lastRowLastColumn="0"/>
            </w:pPr>
          </w:p>
        </w:tc>
        <w:tc>
          <w:tcPr>
            <w:tcW w:w="1134" w:type="dxa"/>
          </w:tcPr>
          <w:p w14:paraId="0BC7FFFC" w14:textId="77777777" w:rsidR="00362BDA" w:rsidRDefault="00362BDA" w:rsidP="00362BDA">
            <w:pPr>
              <w:pStyle w:val="TableText"/>
              <w:jc w:val="right"/>
              <w:cnfStyle w:val="000000000000" w:firstRow="0" w:lastRow="0" w:firstColumn="0" w:lastColumn="0" w:oddVBand="0" w:evenVBand="0" w:oddHBand="0" w:evenHBand="0" w:firstRowFirstColumn="0" w:firstRowLastColumn="0" w:lastRowFirstColumn="0" w:lastRowLastColumn="0"/>
            </w:pPr>
          </w:p>
        </w:tc>
      </w:tr>
      <w:tr w:rsidR="00362BDA" w14:paraId="3ECD45FF" w14:textId="77777777" w:rsidTr="00362B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3" w:type="dxa"/>
          </w:tcPr>
          <w:p w14:paraId="2356FE58" w14:textId="77777777" w:rsidR="00362BDA" w:rsidRDefault="00362BDA" w:rsidP="00362BDA">
            <w:pPr>
              <w:pStyle w:val="TableText"/>
            </w:pPr>
          </w:p>
        </w:tc>
        <w:tc>
          <w:tcPr>
            <w:tcW w:w="1133" w:type="dxa"/>
          </w:tcPr>
          <w:p w14:paraId="5B6839DA" w14:textId="77777777" w:rsidR="00362BDA" w:rsidRDefault="00362BDA" w:rsidP="00362BDA">
            <w:pPr>
              <w:pStyle w:val="TableText"/>
              <w:jc w:val="right"/>
              <w:cnfStyle w:val="000000100000" w:firstRow="0" w:lastRow="0" w:firstColumn="0" w:lastColumn="0" w:oddVBand="0" w:evenVBand="0" w:oddHBand="1" w:evenHBand="0" w:firstRowFirstColumn="0" w:firstRowLastColumn="0" w:lastRowFirstColumn="0" w:lastRowLastColumn="0"/>
            </w:pPr>
          </w:p>
        </w:tc>
        <w:tc>
          <w:tcPr>
            <w:tcW w:w="1133" w:type="dxa"/>
          </w:tcPr>
          <w:p w14:paraId="48804FC3" w14:textId="77777777" w:rsidR="00362BDA" w:rsidRDefault="00362BDA" w:rsidP="00362BDA">
            <w:pPr>
              <w:pStyle w:val="TableText"/>
              <w:jc w:val="right"/>
              <w:cnfStyle w:val="000000100000" w:firstRow="0" w:lastRow="0" w:firstColumn="0" w:lastColumn="0" w:oddVBand="0" w:evenVBand="0" w:oddHBand="1" w:evenHBand="0" w:firstRowFirstColumn="0" w:firstRowLastColumn="0" w:lastRowFirstColumn="0" w:lastRowLastColumn="0"/>
            </w:pPr>
          </w:p>
        </w:tc>
        <w:tc>
          <w:tcPr>
            <w:tcW w:w="1133" w:type="dxa"/>
          </w:tcPr>
          <w:p w14:paraId="7D80D76F" w14:textId="77777777" w:rsidR="00362BDA" w:rsidRDefault="00362BDA" w:rsidP="00362BDA">
            <w:pPr>
              <w:pStyle w:val="TableText"/>
              <w:jc w:val="right"/>
              <w:cnfStyle w:val="000000100000" w:firstRow="0" w:lastRow="0" w:firstColumn="0" w:lastColumn="0" w:oddVBand="0" w:evenVBand="0" w:oddHBand="1" w:evenHBand="0" w:firstRowFirstColumn="0" w:firstRowLastColumn="0" w:lastRowFirstColumn="0" w:lastRowLastColumn="0"/>
            </w:pPr>
          </w:p>
        </w:tc>
        <w:tc>
          <w:tcPr>
            <w:tcW w:w="1133" w:type="dxa"/>
          </w:tcPr>
          <w:p w14:paraId="52D5B73B" w14:textId="77777777" w:rsidR="00362BDA" w:rsidRDefault="00362BDA" w:rsidP="00362BDA">
            <w:pPr>
              <w:pStyle w:val="TableText"/>
              <w:jc w:val="right"/>
              <w:cnfStyle w:val="000000100000" w:firstRow="0" w:lastRow="0" w:firstColumn="0" w:lastColumn="0" w:oddVBand="0" w:evenVBand="0" w:oddHBand="1" w:evenHBand="0" w:firstRowFirstColumn="0" w:firstRowLastColumn="0" w:lastRowFirstColumn="0" w:lastRowLastColumn="0"/>
            </w:pPr>
          </w:p>
        </w:tc>
        <w:tc>
          <w:tcPr>
            <w:tcW w:w="1133" w:type="dxa"/>
          </w:tcPr>
          <w:p w14:paraId="6BE340A7" w14:textId="77777777" w:rsidR="00362BDA" w:rsidRDefault="00362BDA" w:rsidP="00362BDA">
            <w:pPr>
              <w:pStyle w:val="TableText"/>
              <w:jc w:val="right"/>
              <w:cnfStyle w:val="000000100000" w:firstRow="0" w:lastRow="0" w:firstColumn="0" w:lastColumn="0" w:oddVBand="0" w:evenVBand="0" w:oddHBand="1" w:evenHBand="0" w:firstRowFirstColumn="0" w:firstRowLastColumn="0" w:lastRowFirstColumn="0" w:lastRowLastColumn="0"/>
            </w:pPr>
          </w:p>
        </w:tc>
        <w:tc>
          <w:tcPr>
            <w:tcW w:w="1133" w:type="dxa"/>
          </w:tcPr>
          <w:p w14:paraId="083427EE" w14:textId="77777777" w:rsidR="00362BDA" w:rsidRDefault="00362BDA" w:rsidP="00362BDA">
            <w:pPr>
              <w:pStyle w:val="TableText"/>
              <w:jc w:val="right"/>
              <w:cnfStyle w:val="000000100000" w:firstRow="0" w:lastRow="0" w:firstColumn="0" w:lastColumn="0" w:oddVBand="0" w:evenVBand="0" w:oddHBand="1" w:evenHBand="0" w:firstRowFirstColumn="0" w:firstRowLastColumn="0" w:lastRowFirstColumn="0" w:lastRowLastColumn="0"/>
            </w:pPr>
          </w:p>
        </w:tc>
        <w:tc>
          <w:tcPr>
            <w:tcW w:w="1133" w:type="dxa"/>
          </w:tcPr>
          <w:p w14:paraId="53EC803E" w14:textId="77777777" w:rsidR="00362BDA" w:rsidRDefault="00362BDA" w:rsidP="00362BDA">
            <w:pPr>
              <w:pStyle w:val="TableText"/>
              <w:jc w:val="right"/>
              <w:cnfStyle w:val="000000100000" w:firstRow="0" w:lastRow="0" w:firstColumn="0" w:lastColumn="0" w:oddVBand="0" w:evenVBand="0" w:oddHBand="1" w:evenHBand="0" w:firstRowFirstColumn="0" w:firstRowLastColumn="0" w:lastRowFirstColumn="0" w:lastRowLastColumn="0"/>
            </w:pPr>
          </w:p>
        </w:tc>
        <w:tc>
          <w:tcPr>
            <w:tcW w:w="1134" w:type="dxa"/>
          </w:tcPr>
          <w:p w14:paraId="3300BFDD" w14:textId="77777777" w:rsidR="00362BDA" w:rsidRDefault="00362BDA" w:rsidP="00362BDA">
            <w:pPr>
              <w:pStyle w:val="TableText"/>
              <w:jc w:val="right"/>
              <w:cnfStyle w:val="000000100000" w:firstRow="0" w:lastRow="0" w:firstColumn="0" w:lastColumn="0" w:oddVBand="0" w:evenVBand="0" w:oddHBand="1" w:evenHBand="0" w:firstRowFirstColumn="0" w:firstRowLastColumn="0" w:lastRowFirstColumn="0" w:lastRowLastColumn="0"/>
            </w:pPr>
          </w:p>
        </w:tc>
      </w:tr>
    </w:tbl>
    <w:p w14:paraId="2CCC6922" w14:textId="38632471" w:rsidR="00362BDA" w:rsidRPr="00362BDA" w:rsidRDefault="00362BDA" w:rsidP="00362BDA">
      <w:pPr>
        <w:pStyle w:val="Footer"/>
        <w:rPr>
          <w:lang w:val="en-AU"/>
        </w:rPr>
      </w:pPr>
      <w:r>
        <w:rPr>
          <w:lang w:val="en-AU"/>
        </w:rPr>
        <w:t>*Sum of daily entitlement/total number of days for the month</w:t>
      </w:r>
    </w:p>
    <w:p w14:paraId="6B0556F8" w14:textId="77777777" w:rsidR="001F6251" w:rsidRDefault="001F6251" w:rsidP="00362BDA">
      <w:pPr>
        <w:pStyle w:val="Heading1"/>
        <w:numPr>
          <w:ilvl w:val="0"/>
          <w:numId w:val="0"/>
        </w:numPr>
        <w:ind w:left="720" w:hanging="720"/>
        <w:rPr>
          <w:lang w:val="en-AU"/>
        </w:rPr>
      </w:pPr>
      <w:r>
        <w:rPr>
          <w:lang w:val="en-AU"/>
        </w:rPr>
        <w:br w:type="page"/>
      </w:r>
    </w:p>
    <w:p w14:paraId="0729F1A0" w14:textId="24E14CE6" w:rsidR="00F90A18" w:rsidRDefault="00362BDA" w:rsidP="00481903">
      <w:pPr>
        <w:pStyle w:val="Heading1"/>
        <w:numPr>
          <w:ilvl w:val="0"/>
          <w:numId w:val="0"/>
        </w:numPr>
        <w:spacing w:before="0" w:after="120"/>
        <w:ind w:left="720" w:hanging="720"/>
        <w:rPr>
          <w:lang w:val="en-AU"/>
        </w:rPr>
      </w:pPr>
      <w:bookmarkStart w:id="48" w:name="_Toc114465583"/>
      <w:r>
        <w:rPr>
          <w:lang w:val="en-AU"/>
        </w:rPr>
        <w:lastRenderedPageBreak/>
        <w:t>A</w:t>
      </w:r>
      <w:r w:rsidR="00FB1B1C">
        <w:rPr>
          <w:lang w:val="en-AU"/>
        </w:rPr>
        <w:t>ppendix</w:t>
      </w:r>
      <w:r>
        <w:rPr>
          <w:lang w:val="en-AU"/>
        </w:rPr>
        <w:t xml:space="preserve"> 3</w:t>
      </w:r>
      <w:bookmarkEnd w:id="48"/>
    </w:p>
    <w:p w14:paraId="6A1239ED" w14:textId="4FE8A87C" w:rsidR="00362BDA" w:rsidRDefault="00362BDA" w:rsidP="00481903">
      <w:pPr>
        <w:pStyle w:val="Heading2"/>
        <w:numPr>
          <w:ilvl w:val="0"/>
          <w:numId w:val="0"/>
        </w:numPr>
        <w:spacing w:before="180" w:after="80"/>
        <w:ind w:left="576" w:hanging="576"/>
        <w:rPr>
          <w:lang w:val="en-AU"/>
        </w:rPr>
      </w:pPr>
      <w:bookmarkStart w:id="49" w:name="_Toc113880178"/>
      <w:bookmarkStart w:id="50" w:name="_Toc114465584"/>
      <w:r>
        <w:rPr>
          <w:lang w:val="en-AU"/>
        </w:rPr>
        <w:t>Tax settlement reconciliation</w:t>
      </w:r>
      <w:bookmarkEnd w:id="49"/>
      <w:bookmarkEnd w:id="50"/>
    </w:p>
    <w:p w14:paraId="2B946AD3" w14:textId="6DDC36CF" w:rsidR="00362BDA" w:rsidRDefault="00362BDA" w:rsidP="00481903">
      <w:pPr>
        <w:spacing w:after="120" w:line="240" w:lineRule="atLeast"/>
        <w:rPr>
          <w:lang w:val="en-AU"/>
        </w:rPr>
      </w:pPr>
      <w:r>
        <w:rPr>
          <w:lang w:val="en-AU"/>
        </w:rPr>
        <w:t>The accuracy and completeness of the following components of the tax report should be verified by the venue operator as soon as possible:</w:t>
      </w:r>
    </w:p>
    <w:p w14:paraId="342FA2E1" w14:textId="7D253B4C" w:rsidR="00362BDA" w:rsidRDefault="00362BDA" w:rsidP="00481903">
      <w:pPr>
        <w:pStyle w:val="Bullet1"/>
        <w:spacing w:after="120" w:line="240" w:lineRule="atLeast"/>
      </w:pPr>
      <w:r>
        <w:t>the average number of entitlements applied</w:t>
      </w:r>
    </w:p>
    <w:p w14:paraId="59ABF14A" w14:textId="68A886AA" w:rsidR="00362BDA" w:rsidRDefault="00362BDA" w:rsidP="00481903">
      <w:pPr>
        <w:pStyle w:val="Bullet1"/>
        <w:spacing w:after="120" w:line="240" w:lineRule="atLeast"/>
      </w:pPr>
      <w:r>
        <w:t>the net revenue or net cash balance</w:t>
      </w:r>
    </w:p>
    <w:p w14:paraId="2C6107B1" w14:textId="3EB181EE" w:rsidR="00362BDA" w:rsidRDefault="00362BDA" w:rsidP="00481903">
      <w:pPr>
        <w:pStyle w:val="Bullet1"/>
        <w:spacing w:after="120" w:line="240" w:lineRule="atLeast"/>
      </w:pPr>
      <w:r>
        <w:t>the applied actual tax rate</w:t>
      </w:r>
    </w:p>
    <w:p w14:paraId="3D046EF5" w14:textId="3148170A" w:rsidR="00362BDA" w:rsidRDefault="00362BDA" w:rsidP="00481903">
      <w:pPr>
        <w:pStyle w:val="Bullet1"/>
        <w:spacing w:after="120" w:line="240" w:lineRule="atLeast"/>
      </w:pPr>
      <w:r>
        <w:t>any financial adjustments processed</w:t>
      </w:r>
    </w:p>
    <w:p w14:paraId="2BEB1C93" w14:textId="1FB6AA75" w:rsidR="00362BDA" w:rsidRDefault="00362BDA" w:rsidP="00481903">
      <w:pPr>
        <w:pStyle w:val="Bullet1"/>
        <w:spacing w:after="120" w:line="240" w:lineRule="atLeast"/>
      </w:pPr>
      <w:r>
        <w:t>the final tax to be remitted to the Commission.</w:t>
      </w:r>
    </w:p>
    <w:tbl>
      <w:tblPr>
        <w:tblStyle w:val="TableGrid"/>
        <w:tblW w:w="0" w:type="auto"/>
        <w:tblLook w:val="04A0" w:firstRow="1" w:lastRow="0" w:firstColumn="1" w:lastColumn="0" w:noHBand="0" w:noVBand="1"/>
      </w:tblPr>
      <w:tblGrid>
        <w:gridCol w:w="1456"/>
        <w:gridCol w:w="1457"/>
        <w:gridCol w:w="1457"/>
        <w:gridCol w:w="1457"/>
        <w:gridCol w:w="1457"/>
        <w:gridCol w:w="1457"/>
        <w:gridCol w:w="1457"/>
      </w:tblGrid>
      <w:tr w:rsidR="00362BDA" w:rsidRPr="00481903" w14:paraId="020FE609" w14:textId="77777777" w:rsidTr="00362BD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6" w:type="dxa"/>
          </w:tcPr>
          <w:p w14:paraId="3A753982" w14:textId="07AC7817" w:rsidR="00362BDA" w:rsidRPr="00481903" w:rsidRDefault="00362BDA" w:rsidP="00481903">
            <w:pPr>
              <w:pStyle w:val="TableHeader"/>
              <w:rPr>
                <w:sz w:val="14"/>
                <w:szCs w:val="14"/>
              </w:rPr>
            </w:pPr>
            <w:r w:rsidRPr="00481903">
              <w:rPr>
                <w:sz w:val="14"/>
                <w:szCs w:val="14"/>
              </w:rPr>
              <w:t>Date</w:t>
            </w:r>
          </w:p>
        </w:tc>
        <w:tc>
          <w:tcPr>
            <w:tcW w:w="1457" w:type="dxa"/>
          </w:tcPr>
          <w:p w14:paraId="3E2BF3D0" w14:textId="339805DE" w:rsidR="00362BDA" w:rsidRPr="00481903" w:rsidRDefault="00362BDA" w:rsidP="00481903">
            <w:pPr>
              <w:pStyle w:val="TableHeader"/>
              <w:cnfStyle w:val="100000000000" w:firstRow="1" w:lastRow="0" w:firstColumn="0" w:lastColumn="0" w:oddVBand="0" w:evenVBand="0" w:oddHBand="0" w:evenHBand="0" w:firstRowFirstColumn="0" w:firstRowLastColumn="0" w:lastRowFirstColumn="0" w:lastRowLastColumn="0"/>
              <w:rPr>
                <w:sz w:val="14"/>
                <w:szCs w:val="14"/>
              </w:rPr>
            </w:pPr>
            <w:r w:rsidRPr="00481903">
              <w:rPr>
                <w:sz w:val="14"/>
                <w:szCs w:val="14"/>
              </w:rPr>
              <w:t>Net revenue</w:t>
            </w:r>
          </w:p>
        </w:tc>
        <w:tc>
          <w:tcPr>
            <w:tcW w:w="1457" w:type="dxa"/>
          </w:tcPr>
          <w:p w14:paraId="37354642" w14:textId="706DD3C0" w:rsidR="00362BDA" w:rsidRPr="00481903" w:rsidRDefault="00362BDA" w:rsidP="00481903">
            <w:pPr>
              <w:pStyle w:val="TableHeader"/>
              <w:cnfStyle w:val="100000000000" w:firstRow="1" w:lastRow="0" w:firstColumn="0" w:lastColumn="0" w:oddVBand="0" w:evenVBand="0" w:oddHBand="0" w:evenHBand="0" w:firstRowFirstColumn="0" w:firstRowLastColumn="0" w:lastRowFirstColumn="0" w:lastRowLastColumn="0"/>
              <w:rPr>
                <w:sz w:val="14"/>
                <w:szCs w:val="14"/>
              </w:rPr>
            </w:pPr>
            <w:r w:rsidRPr="00481903">
              <w:rPr>
                <w:sz w:val="14"/>
                <w:szCs w:val="14"/>
              </w:rPr>
              <w:t>Daily entitlement</w:t>
            </w:r>
          </w:p>
        </w:tc>
        <w:tc>
          <w:tcPr>
            <w:tcW w:w="1457" w:type="dxa"/>
          </w:tcPr>
          <w:p w14:paraId="11D527B3" w14:textId="7F6584A3" w:rsidR="00362BDA" w:rsidRPr="00481903" w:rsidRDefault="00362BDA" w:rsidP="00481903">
            <w:pPr>
              <w:pStyle w:val="TableHeader"/>
              <w:cnfStyle w:val="100000000000" w:firstRow="1" w:lastRow="0" w:firstColumn="0" w:lastColumn="0" w:oddVBand="0" w:evenVBand="0" w:oddHBand="0" w:evenHBand="0" w:firstRowFirstColumn="0" w:firstRowLastColumn="0" w:lastRowFirstColumn="0" w:lastRowLastColumn="0"/>
              <w:rPr>
                <w:sz w:val="14"/>
                <w:szCs w:val="14"/>
              </w:rPr>
            </w:pPr>
            <w:r w:rsidRPr="00481903">
              <w:rPr>
                <w:sz w:val="14"/>
                <w:szCs w:val="14"/>
              </w:rPr>
              <w:t>Average entitlement</w:t>
            </w:r>
          </w:p>
        </w:tc>
        <w:tc>
          <w:tcPr>
            <w:tcW w:w="1457" w:type="dxa"/>
          </w:tcPr>
          <w:p w14:paraId="3960A9B6" w14:textId="655B55AF" w:rsidR="00362BDA" w:rsidRPr="00481903" w:rsidRDefault="00362BDA" w:rsidP="00481903">
            <w:pPr>
              <w:pStyle w:val="TableHeader"/>
              <w:cnfStyle w:val="100000000000" w:firstRow="1" w:lastRow="0" w:firstColumn="0" w:lastColumn="0" w:oddVBand="0" w:evenVBand="0" w:oddHBand="0" w:evenHBand="0" w:firstRowFirstColumn="0" w:firstRowLastColumn="0" w:lastRowFirstColumn="0" w:lastRowLastColumn="0"/>
              <w:rPr>
                <w:sz w:val="14"/>
                <w:szCs w:val="14"/>
              </w:rPr>
            </w:pPr>
            <w:r w:rsidRPr="00481903">
              <w:rPr>
                <w:sz w:val="14"/>
                <w:szCs w:val="14"/>
              </w:rPr>
              <w:t>NR/ENT</w:t>
            </w:r>
          </w:p>
        </w:tc>
        <w:tc>
          <w:tcPr>
            <w:tcW w:w="1457" w:type="dxa"/>
          </w:tcPr>
          <w:p w14:paraId="4C5B80FC" w14:textId="7C0E7CAE" w:rsidR="00362BDA" w:rsidRPr="00481903" w:rsidRDefault="00362BDA" w:rsidP="00481903">
            <w:pPr>
              <w:pStyle w:val="TableHeader"/>
              <w:cnfStyle w:val="100000000000" w:firstRow="1" w:lastRow="0" w:firstColumn="0" w:lastColumn="0" w:oddVBand="0" w:evenVBand="0" w:oddHBand="0" w:evenHBand="0" w:firstRowFirstColumn="0" w:firstRowLastColumn="0" w:lastRowFirstColumn="0" w:lastRowLastColumn="0"/>
              <w:rPr>
                <w:sz w:val="14"/>
                <w:szCs w:val="14"/>
              </w:rPr>
            </w:pPr>
            <w:r w:rsidRPr="00481903">
              <w:rPr>
                <w:sz w:val="14"/>
                <w:szCs w:val="14"/>
              </w:rPr>
              <w:t>Tax per EGM</w:t>
            </w:r>
          </w:p>
        </w:tc>
        <w:tc>
          <w:tcPr>
            <w:tcW w:w="1457" w:type="dxa"/>
          </w:tcPr>
          <w:p w14:paraId="6D702387" w14:textId="67FDB781" w:rsidR="00362BDA" w:rsidRPr="00481903" w:rsidRDefault="00362BDA" w:rsidP="00481903">
            <w:pPr>
              <w:pStyle w:val="TableHeader"/>
              <w:cnfStyle w:val="100000000000" w:firstRow="1" w:lastRow="0" w:firstColumn="0" w:lastColumn="0" w:oddVBand="0" w:evenVBand="0" w:oddHBand="0" w:evenHBand="0" w:firstRowFirstColumn="0" w:firstRowLastColumn="0" w:lastRowFirstColumn="0" w:lastRowLastColumn="0"/>
              <w:rPr>
                <w:sz w:val="14"/>
                <w:szCs w:val="14"/>
              </w:rPr>
            </w:pPr>
            <w:r w:rsidRPr="00481903">
              <w:rPr>
                <w:sz w:val="14"/>
                <w:szCs w:val="14"/>
              </w:rPr>
              <w:t>Estimated tax</w:t>
            </w:r>
          </w:p>
        </w:tc>
      </w:tr>
      <w:tr w:rsidR="00362BDA" w:rsidRPr="00481903" w14:paraId="56DA3147" w14:textId="77777777" w:rsidTr="00362B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6" w:type="dxa"/>
          </w:tcPr>
          <w:p w14:paraId="36F8A1A4" w14:textId="04F17B1E" w:rsidR="00362BDA" w:rsidRPr="00481903" w:rsidRDefault="0045702D" w:rsidP="00481903">
            <w:pPr>
              <w:pStyle w:val="TableText"/>
              <w:spacing w:line="240" w:lineRule="auto"/>
              <w:rPr>
                <w:sz w:val="14"/>
                <w:szCs w:val="14"/>
              </w:rPr>
            </w:pPr>
            <w:r w:rsidRPr="00481903">
              <w:rPr>
                <w:sz w:val="14"/>
                <w:szCs w:val="14"/>
              </w:rPr>
              <w:t xml:space="preserve">1 Feb </w:t>
            </w:r>
            <w:r w:rsidR="00FB1B1C" w:rsidRPr="001F6363">
              <w:rPr>
                <w:sz w:val="14"/>
                <w:szCs w:val="14"/>
              </w:rPr>
              <w:t>22</w:t>
            </w:r>
          </w:p>
        </w:tc>
        <w:tc>
          <w:tcPr>
            <w:tcW w:w="1457" w:type="dxa"/>
          </w:tcPr>
          <w:p w14:paraId="7B5DD729" w14:textId="44899801" w:rsidR="00362BDA" w:rsidRPr="00481903" w:rsidRDefault="0045702D" w:rsidP="00481903">
            <w:pPr>
              <w:pStyle w:val="TableText"/>
              <w:spacing w:line="240" w:lineRule="auto"/>
              <w:jc w:val="right"/>
              <w:cnfStyle w:val="000000100000" w:firstRow="0" w:lastRow="0" w:firstColumn="0" w:lastColumn="0" w:oddVBand="0" w:evenVBand="0" w:oddHBand="1" w:evenHBand="0" w:firstRowFirstColumn="0" w:firstRowLastColumn="0" w:lastRowFirstColumn="0" w:lastRowLastColumn="0"/>
              <w:rPr>
                <w:sz w:val="14"/>
                <w:szCs w:val="14"/>
              </w:rPr>
            </w:pPr>
            <w:r w:rsidRPr="00481903">
              <w:rPr>
                <w:sz w:val="14"/>
                <w:szCs w:val="14"/>
              </w:rPr>
              <w:t>32,356</w:t>
            </w:r>
          </w:p>
        </w:tc>
        <w:tc>
          <w:tcPr>
            <w:tcW w:w="1457" w:type="dxa"/>
          </w:tcPr>
          <w:p w14:paraId="5A1434C8" w14:textId="378AEECA" w:rsidR="00362BDA" w:rsidRPr="00481903" w:rsidRDefault="0045702D" w:rsidP="00481903">
            <w:pPr>
              <w:pStyle w:val="TableText"/>
              <w:spacing w:line="240" w:lineRule="auto"/>
              <w:jc w:val="right"/>
              <w:cnfStyle w:val="000000100000" w:firstRow="0" w:lastRow="0" w:firstColumn="0" w:lastColumn="0" w:oddVBand="0" w:evenVBand="0" w:oddHBand="1" w:evenHBand="0" w:firstRowFirstColumn="0" w:firstRowLastColumn="0" w:lastRowFirstColumn="0" w:lastRowLastColumn="0"/>
              <w:rPr>
                <w:sz w:val="14"/>
                <w:szCs w:val="14"/>
              </w:rPr>
            </w:pPr>
            <w:r w:rsidRPr="00481903">
              <w:rPr>
                <w:sz w:val="14"/>
                <w:szCs w:val="14"/>
              </w:rPr>
              <w:t>80</w:t>
            </w:r>
          </w:p>
        </w:tc>
        <w:tc>
          <w:tcPr>
            <w:tcW w:w="1457" w:type="dxa"/>
          </w:tcPr>
          <w:p w14:paraId="5439C448" w14:textId="77777777" w:rsidR="00362BDA" w:rsidRPr="00481903" w:rsidRDefault="00362BDA" w:rsidP="00481903">
            <w:pPr>
              <w:pStyle w:val="TableText"/>
              <w:spacing w:line="240" w:lineRule="auto"/>
              <w:jc w:val="right"/>
              <w:cnfStyle w:val="000000100000" w:firstRow="0" w:lastRow="0" w:firstColumn="0" w:lastColumn="0" w:oddVBand="0" w:evenVBand="0" w:oddHBand="1" w:evenHBand="0" w:firstRowFirstColumn="0" w:firstRowLastColumn="0" w:lastRowFirstColumn="0" w:lastRowLastColumn="0"/>
              <w:rPr>
                <w:sz w:val="14"/>
                <w:szCs w:val="14"/>
              </w:rPr>
            </w:pPr>
          </w:p>
        </w:tc>
        <w:tc>
          <w:tcPr>
            <w:tcW w:w="1457" w:type="dxa"/>
          </w:tcPr>
          <w:p w14:paraId="472BE003" w14:textId="77777777" w:rsidR="00362BDA" w:rsidRPr="00481903" w:rsidRDefault="00362BDA" w:rsidP="00481903">
            <w:pPr>
              <w:pStyle w:val="TableText"/>
              <w:spacing w:line="240" w:lineRule="auto"/>
              <w:jc w:val="right"/>
              <w:cnfStyle w:val="000000100000" w:firstRow="0" w:lastRow="0" w:firstColumn="0" w:lastColumn="0" w:oddVBand="0" w:evenVBand="0" w:oddHBand="1" w:evenHBand="0" w:firstRowFirstColumn="0" w:firstRowLastColumn="0" w:lastRowFirstColumn="0" w:lastRowLastColumn="0"/>
              <w:rPr>
                <w:sz w:val="14"/>
                <w:szCs w:val="14"/>
              </w:rPr>
            </w:pPr>
          </w:p>
        </w:tc>
        <w:tc>
          <w:tcPr>
            <w:tcW w:w="1457" w:type="dxa"/>
          </w:tcPr>
          <w:p w14:paraId="793DB578" w14:textId="77777777" w:rsidR="00362BDA" w:rsidRPr="00481903" w:rsidRDefault="00362BDA" w:rsidP="00481903">
            <w:pPr>
              <w:pStyle w:val="TableText"/>
              <w:spacing w:line="240" w:lineRule="auto"/>
              <w:jc w:val="right"/>
              <w:cnfStyle w:val="000000100000" w:firstRow="0" w:lastRow="0" w:firstColumn="0" w:lastColumn="0" w:oddVBand="0" w:evenVBand="0" w:oddHBand="1" w:evenHBand="0" w:firstRowFirstColumn="0" w:firstRowLastColumn="0" w:lastRowFirstColumn="0" w:lastRowLastColumn="0"/>
              <w:rPr>
                <w:sz w:val="14"/>
                <w:szCs w:val="14"/>
              </w:rPr>
            </w:pPr>
          </w:p>
        </w:tc>
        <w:tc>
          <w:tcPr>
            <w:tcW w:w="1457" w:type="dxa"/>
          </w:tcPr>
          <w:p w14:paraId="4F67A964" w14:textId="77777777" w:rsidR="00362BDA" w:rsidRPr="00481903" w:rsidRDefault="00362BDA" w:rsidP="00481903">
            <w:pPr>
              <w:pStyle w:val="TableText"/>
              <w:spacing w:line="240" w:lineRule="auto"/>
              <w:jc w:val="right"/>
              <w:cnfStyle w:val="000000100000" w:firstRow="0" w:lastRow="0" w:firstColumn="0" w:lastColumn="0" w:oddVBand="0" w:evenVBand="0" w:oddHBand="1" w:evenHBand="0" w:firstRowFirstColumn="0" w:firstRowLastColumn="0" w:lastRowFirstColumn="0" w:lastRowLastColumn="0"/>
              <w:rPr>
                <w:sz w:val="14"/>
                <w:szCs w:val="14"/>
              </w:rPr>
            </w:pPr>
          </w:p>
        </w:tc>
      </w:tr>
      <w:tr w:rsidR="00362BDA" w:rsidRPr="00481903" w14:paraId="42CF98F0" w14:textId="77777777" w:rsidTr="00362BDA">
        <w:tc>
          <w:tcPr>
            <w:cnfStyle w:val="001000000000" w:firstRow="0" w:lastRow="0" w:firstColumn="1" w:lastColumn="0" w:oddVBand="0" w:evenVBand="0" w:oddHBand="0" w:evenHBand="0" w:firstRowFirstColumn="0" w:firstRowLastColumn="0" w:lastRowFirstColumn="0" w:lastRowLastColumn="0"/>
            <w:tcW w:w="1456" w:type="dxa"/>
          </w:tcPr>
          <w:p w14:paraId="0BA1435E" w14:textId="5BAB24B1" w:rsidR="00362BDA" w:rsidRPr="00481903" w:rsidRDefault="0045702D" w:rsidP="00481903">
            <w:pPr>
              <w:pStyle w:val="TableText"/>
              <w:spacing w:line="240" w:lineRule="auto"/>
              <w:rPr>
                <w:sz w:val="14"/>
                <w:szCs w:val="14"/>
              </w:rPr>
            </w:pPr>
            <w:r w:rsidRPr="00481903">
              <w:rPr>
                <w:sz w:val="14"/>
                <w:szCs w:val="14"/>
              </w:rPr>
              <w:t xml:space="preserve">2 Feb </w:t>
            </w:r>
            <w:r w:rsidR="00FB1B1C">
              <w:rPr>
                <w:sz w:val="14"/>
                <w:szCs w:val="14"/>
              </w:rPr>
              <w:t>22</w:t>
            </w:r>
          </w:p>
        </w:tc>
        <w:tc>
          <w:tcPr>
            <w:tcW w:w="1457" w:type="dxa"/>
          </w:tcPr>
          <w:p w14:paraId="44A22711" w14:textId="6D994A7B" w:rsidR="00362BDA" w:rsidRPr="00481903" w:rsidRDefault="0045702D" w:rsidP="00481903">
            <w:pPr>
              <w:pStyle w:val="TableText"/>
              <w:spacing w:line="240" w:lineRule="auto"/>
              <w:jc w:val="right"/>
              <w:cnfStyle w:val="000000000000" w:firstRow="0" w:lastRow="0" w:firstColumn="0" w:lastColumn="0" w:oddVBand="0" w:evenVBand="0" w:oddHBand="0" w:evenHBand="0" w:firstRowFirstColumn="0" w:firstRowLastColumn="0" w:lastRowFirstColumn="0" w:lastRowLastColumn="0"/>
              <w:rPr>
                <w:sz w:val="14"/>
                <w:szCs w:val="14"/>
              </w:rPr>
            </w:pPr>
            <w:r w:rsidRPr="00481903">
              <w:rPr>
                <w:sz w:val="14"/>
                <w:szCs w:val="14"/>
              </w:rPr>
              <w:t>14,744</w:t>
            </w:r>
          </w:p>
        </w:tc>
        <w:tc>
          <w:tcPr>
            <w:tcW w:w="1457" w:type="dxa"/>
          </w:tcPr>
          <w:p w14:paraId="1BC1A0AD" w14:textId="15B225D6" w:rsidR="00362BDA" w:rsidRPr="00481903" w:rsidRDefault="0045702D" w:rsidP="00481903">
            <w:pPr>
              <w:pStyle w:val="TableText"/>
              <w:spacing w:line="240" w:lineRule="auto"/>
              <w:jc w:val="right"/>
              <w:cnfStyle w:val="000000000000" w:firstRow="0" w:lastRow="0" w:firstColumn="0" w:lastColumn="0" w:oddVBand="0" w:evenVBand="0" w:oddHBand="0" w:evenHBand="0" w:firstRowFirstColumn="0" w:firstRowLastColumn="0" w:lastRowFirstColumn="0" w:lastRowLastColumn="0"/>
              <w:rPr>
                <w:sz w:val="14"/>
                <w:szCs w:val="14"/>
              </w:rPr>
            </w:pPr>
            <w:r w:rsidRPr="00481903">
              <w:rPr>
                <w:sz w:val="14"/>
                <w:szCs w:val="14"/>
              </w:rPr>
              <w:t>80</w:t>
            </w:r>
          </w:p>
        </w:tc>
        <w:tc>
          <w:tcPr>
            <w:tcW w:w="1457" w:type="dxa"/>
          </w:tcPr>
          <w:p w14:paraId="6E3DDD18" w14:textId="77777777" w:rsidR="00362BDA" w:rsidRPr="00481903" w:rsidRDefault="00362BDA" w:rsidP="00481903">
            <w:pPr>
              <w:pStyle w:val="TableText"/>
              <w:spacing w:line="240" w:lineRule="auto"/>
              <w:jc w:val="right"/>
              <w:cnfStyle w:val="000000000000" w:firstRow="0" w:lastRow="0" w:firstColumn="0" w:lastColumn="0" w:oddVBand="0" w:evenVBand="0" w:oddHBand="0" w:evenHBand="0" w:firstRowFirstColumn="0" w:firstRowLastColumn="0" w:lastRowFirstColumn="0" w:lastRowLastColumn="0"/>
              <w:rPr>
                <w:sz w:val="14"/>
                <w:szCs w:val="14"/>
              </w:rPr>
            </w:pPr>
          </w:p>
        </w:tc>
        <w:tc>
          <w:tcPr>
            <w:tcW w:w="1457" w:type="dxa"/>
          </w:tcPr>
          <w:p w14:paraId="5657D029" w14:textId="77777777" w:rsidR="00362BDA" w:rsidRPr="00481903" w:rsidRDefault="00362BDA" w:rsidP="00481903">
            <w:pPr>
              <w:pStyle w:val="TableText"/>
              <w:spacing w:line="240" w:lineRule="auto"/>
              <w:jc w:val="right"/>
              <w:cnfStyle w:val="000000000000" w:firstRow="0" w:lastRow="0" w:firstColumn="0" w:lastColumn="0" w:oddVBand="0" w:evenVBand="0" w:oddHBand="0" w:evenHBand="0" w:firstRowFirstColumn="0" w:firstRowLastColumn="0" w:lastRowFirstColumn="0" w:lastRowLastColumn="0"/>
              <w:rPr>
                <w:sz w:val="14"/>
                <w:szCs w:val="14"/>
              </w:rPr>
            </w:pPr>
          </w:p>
        </w:tc>
        <w:tc>
          <w:tcPr>
            <w:tcW w:w="1457" w:type="dxa"/>
          </w:tcPr>
          <w:p w14:paraId="01D9AB36" w14:textId="77777777" w:rsidR="00362BDA" w:rsidRPr="00481903" w:rsidRDefault="00362BDA" w:rsidP="00481903">
            <w:pPr>
              <w:pStyle w:val="TableText"/>
              <w:spacing w:line="240" w:lineRule="auto"/>
              <w:jc w:val="right"/>
              <w:cnfStyle w:val="000000000000" w:firstRow="0" w:lastRow="0" w:firstColumn="0" w:lastColumn="0" w:oddVBand="0" w:evenVBand="0" w:oddHBand="0" w:evenHBand="0" w:firstRowFirstColumn="0" w:firstRowLastColumn="0" w:lastRowFirstColumn="0" w:lastRowLastColumn="0"/>
              <w:rPr>
                <w:sz w:val="14"/>
                <w:szCs w:val="14"/>
              </w:rPr>
            </w:pPr>
          </w:p>
        </w:tc>
        <w:tc>
          <w:tcPr>
            <w:tcW w:w="1457" w:type="dxa"/>
          </w:tcPr>
          <w:p w14:paraId="1689E2D4" w14:textId="77777777" w:rsidR="00362BDA" w:rsidRPr="00481903" w:rsidRDefault="00362BDA" w:rsidP="00481903">
            <w:pPr>
              <w:pStyle w:val="TableText"/>
              <w:spacing w:line="240" w:lineRule="auto"/>
              <w:jc w:val="right"/>
              <w:cnfStyle w:val="000000000000" w:firstRow="0" w:lastRow="0" w:firstColumn="0" w:lastColumn="0" w:oddVBand="0" w:evenVBand="0" w:oddHBand="0" w:evenHBand="0" w:firstRowFirstColumn="0" w:firstRowLastColumn="0" w:lastRowFirstColumn="0" w:lastRowLastColumn="0"/>
              <w:rPr>
                <w:sz w:val="14"/>
                <w:szCs w:val="14"/>
              </w:rPr>
            </w:pPr>
          </w:p>
        </w:tc>
      </w:tr>
      <w:tr w:rsidR="0045702D" w:rsidRPr="00481903" w14:paraId="52A2F368" w14:textId="77777777" w:rsidTr="00362B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6" w:type="dxa"/>
          </w:tcPr>
          <w:p w14:paraId="627E1EE7" w14:textId="096BCCC8" w:rsidR="0045702D" w:rsidRPr="00481903" w:rsidRDefault="0045702D" w:rsidP="00481903">
            <w:pPr>
              <w:pStyle w:val="TableText"/>
              <w:spacing w:line="240" w:lineRule="auto"/>
              <w:rPr>
                <w:sz w:val="14"/>
                <w:szCs w:val="14"/>
              </w:rPr>
            </w:pPr>
            <w:r w:rsidRPr="00481903">
              <w:rPr>
                <w:sz w:val="14"/>
                <w:szCs w:val="14"/>
              </w:rPr>
              <w:t xml:space="preserve">3 Feb </w:t>
            </w:r>
            <w:r w:rsidR="00FB1B1C">
              <w:rPr>
                <w:sz w:val="14"/>
                <w:szCs w:val="14"/>
              </w:rPr>
              <w:t>22</w:t>
            </w:r>
          </w:p>
        </w:tc>
        <w:tc>
          <w:tcPr>
            <w:tcW w:w="1457" w:type="dxa"/>
          </w:tcPr>
          <w:p w14:paraId="1B746ED8" w14:textId="15222ACE" w:rsidR="0045702D" w:rsidRPr="00481903" w:rsidRDefault="0045702D" w:rsidP="00481903">
            <w:pPr>
              <w:pStyle w:val="TableText"/>
              <w:spacing w:line="240" w:lineRule="auto"/>
              <w:jc w:val="right"/>
              <w:cnfStyle w:val="000000100000" w:firstRow="0" w:lastRow="0" w:firstColumn="0" w:lastColumn="0" w:oddVBand="0" w:evenVBand="0" w:oddHBand="1" w:evenHBand="0" w:firstRowFirstColumn="0" w:firstRowLastColumn="0" w:lastRowFirstColumn="0" w:lastRowLastColumn="0"/>
              <w:rPr>
                <w:sz w:val="14"/>
                <w:szCs w:val="14"/>
              </w:rPr>
            </w:pPr>
            <w:r w:rsidRPr="00481903">
              <w:rPr>
                <w:sz w:val="14"/>
                <w:szCs w:val="14"/>
              </w:rPr>
              <w:t>21,586</w:t>
            </w:r>
          </w:p>
        </w:tc>
        <w:tc>
          <w:tcPr>
            <w:tcW w:w="1457" w:type="dxa"/>
          </w:tcPr>
          <w:p w14:paraId="5CCD0FA9" w14:textId="6E6236F7" w:rsidR="0045702D" w:rsidRPr="00481903" w:rsidRDefault="0045702D" w:rsidP="00481903">
            <w:pPr>
              <w:pStyle w:val="TableText"/>
              <w:spacing w:line="240" w:lineRule="auto"/>
              <w:jc w:val="right"/>
              <w:cnfStyle w:val="000000100000" w:firstRow="0" w:lastRow="0" w:firstColumn="0" w:lastColumn="0" w:oddVBand="0" w:evenVBand="0" w:oddHBand="1" w:evenHBand="0" w:firstRowFirstColumn="0" w:firstRowLastColumn="0" w:lastRowFirstColumn="0" w:lastRowLastColumn="0"/>
              <w:rPr>
                <w:sz w:val="14"/>
                <w:szCs w:val="14"/>
              </w:rPr>
            </w:pPr>
            <w:r w:rsidRPr="00481903">
              <w:rPr>
                <w:sz w:val="14"/>
                <w:szCs w:val="14"/>
              </w:rPr>
              <w:t>80</w:t>
            </w:r>
          </w:p>
        </w:tc>
        <w:tc>
          <w:tcPr>
            <w:tcW w:w="1457" w:type="dxa"/>
          </w:tcPr>
          <w:p w14:paraId="41DEB344" w14:textId="77777777" w:rsidR="0045702D" w:rsidRPr="00481903" w:rsidRDefault="0045702D" w:rsidP="00481903">
            <w:pPr>
              <w:pStyle w:val="TableText"/>
              <w:spacing w:line="240" w:lineRule="auto"/>
              <w:jc w:val="right"/>
              <w:cnfStyle w:val="000000100000" w:firstRow="0" w:lastRow="0" w:firstColumn="0" w:lastColumn="0" w:oddVBand="0" w:evenVBand="0" w:oddHBand="1" w:evenHBand="0" w:firstRowFirstColumn="0" w:firstRowLastColumn="0" w:lastRowFirstColumn="0" w:lastRowLastColumn="0"/>
              <w:rPr>
                <w:sz w:val="14"/>
                <w:szCs w:val="14"/>
              </w:rPr>
            </w:pPr>
          </w:p>
        </w:tc>
        <w:tc>
          <w:tcPr>
            <w:tcW w:w="1457" w:type="dxa"/>
          </w:tcPr>
          <w:p w14:paraId="17900E9F" w14:textId="77777777" w:rsidR="0045702D" w:rsidRPr="00481903" w:rsidRDefault="0045702D" w:rsidP="00481903">
            <w:pPr>
              <w:pStyle w:val="TableText"/>
              <w:spacing w:line="240" w:lineRule="auto"/>
              <w:jc w:val="right"/>
              <w:cnfStyle w:val="000000100000" w:firstRow="0" w:lastRow="0" w:firstColumn="0" w:lastColumn="0" w:oddVBand="0" w:evenVBand="0" w:oddHBand="1" w:evenHBand="0" w:firstRowFirstColumn="0" w:firstRowLastColumn="0" w:lastRowFirstColumn="0" w:lastRowLastColumn="0"/>
              <w:rPr>
                <w:sz w:val="14"/>
                <w:szCs w:val="14"/>
              </w:rPr>
            </w:pPr>
          </w:p>
        </w:tc>
        <w:tc>
          <w:tcPr>
            <w:tcW w:w="1457" w:type="dxa"/>
          </w:tcPr>
          <w:p w14:paraId="0C8DB837" w14:textId="77777777" w:rsidR="0045702D" w:rsidRPr="00481903" w:rsidRDefault="0045702D" w:rsidP="00481903">
            <w:pPr>
              <w:pStyle w:val="TableText"/>
              <w:spacing w:line="240" w:lineRule="auto"/>
              <w:jc w:val="right"/>
              <w:cnfStyle w:val="000000100000" w:firstRow="0" w:lastRow="0" w:firstColumn="0" w:lastColumn="0" w:oddVBand="0" w:evenVBand="0" w:oddHBand="1" w:evenHBand="0" w:firstRowFirstColumn="0" w:firstRowLastColumn="0" w:lastRowFirstColumn="0" w:lastRowLastColumn="0"/>
              <w:rPr>
                <w:sz w:val="14"/>
                <w:szCs w:val="14"/>
              </w:rPr>
            </w:pPr>
          </w:p>
        </w:tc>
        <w:tc>
          <w:tcPr>
            <w:tcW w:w="1457" w:type="dxa"/>
          </w:tcPr>
          <w:p w14:paraId="33E0D047" w14:textId="77777777" w:rsidR="0045702D" w:rsidRPr="00481903" w:rsidRDefault="0045702D" w:rsidP="00481903">
            <w:pPr>
              <w:pStyle w:val="TableText"/>
              <w:spacing w:line="240" w:lineRule="auto"/>
              <w:jc w:val="right"/>
              <w:cnfStyle w:val="000000100000" w:firstRow="0" w:lastRow="0" w:firstColumn="0" w:lastColumn="0" w:oddVBand="0" w:evenVBand="0" w:oddHBand="1" w:evenHBand="0" w:firstRowFirstColumn="0" w:firstRowLastColumn="0" w:lastRowFirstColumn="0" w:lastRowLastColumn="0"/>
              <w:rPr>
                <w:sz w:val="14"/>
                <w:szCs w:val="14"/>
              </w:rPr>
            </w:pPr>
          </w:p>
        </w:tc>
      </w:tr>
      <w:tr w:rsidR="0045702D" w:rsidRPr="00481903" w14:paraId="614D6AA6" w14:textId="77777777" w:rsidTr="00362BDA">
        <w:tc>
          <w:tcPr>
            <w:cnfStyle w:val="001000000000" w:firstRow="0" w:lastRow="0" w:firstColumn="1" w:lastColumn="0" w:oddVBand="0" w:evenVBand="0" w:oddHBand="0" w:evenHBand="0" w:firstRowFirstColumn="0" w:firstRowLastColumn="0" w:lastRowFirstColumn="0" w:lastRowLastColumn="0"/>
            <w:tcW w:w="1456" w:type="dxa"/>
          </w:tcPr>
          <w:p w14:paraId="6C633519" w14:textId="18C1A27E" w:rsidR="0045702D" w:rsidRPr="00481903" w:rsidRDefault="0045702D" w:rsidP="00481903">
            <w:pPr>
              <w:pStyle w:val="TableText"/>
              <w:spacing w:line="240" w:lineRule="auto"/>
              <w:rPr>
                <w:sz w:val="14"/>
                <w:szCs w:val="14"/>
              </w:rPr>
            </w:pPr>
            <w:r w:rsidRPr="00481903">
              <w:rPr>
                <w:sz w:val="14"/>
                <w:szCs w:val="14"/>
              </w:rPr>
              <w:t xml:space="preserve">4 Feb </w:t>
            </w:r>
            <w:r w:rsidR="00FB1B1C">
              <w:rPr>
                <w:sz w:val="14"/>
                <w:szCs w:val="14"/>
              </w:rPr>
              <w:t>22</w:t>
            </w:r>
          </w:p>
        </w:tc>
        <w:tc>
          <w:tcPr>
            <w:tcW w:w="1457" w:type="dxa"/>
          </w:tcPr>
          <w:p w14:paraId="34F8EFF3" w14:textId="3951944A" w:rsidR="0045702D" w:rsidRPr="00481903" w:rsidRDefault="0045702D" w:rsidP="00481903">
            <w:pPr>
              <w:pStyle w:val="TableText"/>
              <w:spacing w:line="240" w:lineRule="auto"/>
              <w:jc w:val="right"/>
              <w:cnfStyle w:val="000000000000" w:firstRow="0" w:lastRow="0" w:firstColumn="0" w:lastColumn="0" w:oddVBand="0" w:evenVBand="0" w:oddHBand="0" w:evenHBand="0" w:firstRowFirstColumn="0" w:firstRowLastColumn="0" w:lastRowFirstColumn="0" w:lastRowLastColumn="0"/>
              <w:rPr>
                <w:sz w:val="14"/>
                <w:szCs w:val="14"/>
              </w:rPr>
            </w:pPr>
            <w:r w:rsidRPr="00481903">
              <w:rPr>
                <w:sz w:val="14"/>
                <w:szCs w:val="14"/>
              </w:rPr>
              <w:t>25,896</w:t>
            </w:r>
          </w:p>
        </w:tc>
        <w:tc>
          <w:tcPr>
            <w:tcW w:w="1457" w:type="dxa"/>
          </w:tcPr>
          <w:p w14:paraId="4D1A1E75" w14:textId="48E392B9" w:rsidR="0045702D" w:rsidRPr="00481903" w:rsidRDefault="0045702D" w:rsidP="00481903">
            <w:pPr>
              <w:pStyle w:val="TableText"/>
              <w:spacing w:line="240" w:lineRule="auto"/>
              <w:jc w:val="right"/>
              <w:cnfStyle w:val="000000000000" w:firstRow="0" w:lastRow="0" w:firstColumn="0" w:lastColumn="0" w:oddVBand="0" w:evenVBand="0" w:oddHBand="0" w:evenHBand="0" w:firstRowFirstColumn="0" w:firstRowLastColumn="0" w:lastRowFirstColumn="0" w:lastRowLastColumn="0"/>
              <w:rPr>
                <w:sz w:val="14"/>
                <w:szCs w:val="14"/>
              </w:rPr>
            </w:pPr>
            <w:r w:rsidRPr="00481903">
              <w:rPr>
                <w:sz w:val="14"/>
                <w:szCs w:val="14"/>
              </w:rPr>
              <w:t>80</w:t>
            </w:r>
          </w:p>
        </w:tc>
        <w:tc>
          <w:tcPr>
            <w:tcW w:w="1457" w:type="dxa"/>
          </w:tcPr>
          <w:p w14:paraId="7E0F5EE5" w14:textId="77777777" w:rsidR="0045702D" w:rsidRPr="00481903" w:rsidRDefault="0045702D" w:rsidP="00481903">
            <w:pPr>
              <w:pStyle w:val="TableText"/>
              <w:spacing w:line="240" w:lineRule="auto"/>
              <w:jc w:val="right"/>
              <w:cnfStyle w:val="000000000000" w:firstRow="0" w:lastRow="0" w:firstColumn="0" w:lastColumn="0" w:oddVBand="0" w:evenVBand="0" w:oddHBand="0" w:evenHBand="0" w:firstRowFirstColumn="0" w:firstRowLastColumn="0" w:lastRowFirstColumn="0" w:lastRowLastColumn="0"/>
              <w:rPr>
                <w:sz w:val="14"/>
                <w:szCs w:val="14"/>
              </w:rPr>
            </w:pPr>
          </w:p>
        </w:tc>
        <w:tc>
          <w:tcPr>
            <w:tcW w:w="1457" w:type="dxa"/>
          </w:tcPr>
          <w:p w14:paraId="2EB862B7" w14:textId="77777777" w:rsidR="0045702D" w:rsidRPr="00481903" w:rsidRDefault="0045702D" w:rsidP="00481903">
            <w:pPr>
              <w:pStyle w:val="TableText"/>
              <w:spacing w:line="240" w:lineRule="auto"/>
              <w:jc w:val="right"/>
              <w:cnfStyle w:val="000000000000" w:firstRow="0" w:lastRow="0" w:firstColumn="0" w:lastColumn="0" w:oddVBand="0" w:evenVBand="0" w:oddHBand="0" w:evenHBand="0" w:firstRowFirstColumn="0" w:firstRowLastColumn="0" w:lastRowFirstColumn="0" w:lastRowLastColumn="0"/>
              <w:rPr>
                <w:sz w:val="14"/>
                <w:szCs w:val="14"/>
              </w:rPr>
            </w:pPr>
          </w:p>
        </w:tc>
        <w:tc>
          <w:tcPr>
            <w:tcW w:w="1457" w:type="dxa"/>
          </w:tcPr>
          <w:p w14:paraId="72AFD321" w14:textId="77777777" w:rsidR="0045702D" w:rsidRPr="00481903" w:rsidRDefault="0045702D" w:rsidP="00481903">
            <w:pPr>
              <w:pStyle w:val="TableText"/>
              <w:spacing w:line="240" w:lineRule="auto"/>
              <w:jc w:val="right"/>
              <w:cnfStyle w:val="000000000000" w:firstRow="0" w:lastRow="0" w:firstColumn="0" w:lastColumn="0" w:oddVBand="0" w:evenVBand="0" w:oddHBand="0" w:evenHBand="0" w:firstRowFirstColumn="0" w:firstRowLastColumn="0" w:lastRowFirstColumn="0" w:lastRowLastColumn="0"/>
              <w:rPr>
                <w:sz w:val="14"/>
                <w:szCs w:val="14"/>
              </w:rPr>
            </w:pPr>
          </w:p>
        </w:tc>
        <w:tc>
          <w:tcPr>
            <w:tcW w:w="1457" w:type="dxa"/>
          </w:tcPr>
          <w:p w14:paraId="5E439239" w14:textId="77777777" w:rsidR="0045702D" w:rsidRPr="00481903" w:rsidRDefault="0045702D" w:rsidP="00481903">
            <w:pPr>
              <w:pStyle w:val="TableText"/>
              <w:spacing w:line="240" w:lineRule="auto"/>
              <w:jc w:val="right"/>
              <w:cnfStyle w:val="000000000000" w:firstRow="0" w:lastRow="0" w:firstColumn="0" w:lastColumn="0" w:oddVBand="0" w:evenVBand="0" w:oddHBand="0" w:evenHBand="0" w:firstRowFirstColumn="0" w:firstRowLastColumn="0" w:lastRowFirstColumn="0" w:lastRowLastColumn="0"/>
              <w:rPr>
                <w:sz w:val="14"/>
                <w:szCs w:val="14"/>
              </w:rPr>
            </w:pPr>
          </w:p>
        </w:tc>
      </w:tr>
      <w:tr w:rsidR="0045702D" w:rsidRPr="00481903" w14:paraId="245A4C8A" w14:textId="77777777" w:rsidTr="00362B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6" w:type="dxa"/>
          </w:tcPr>
          <w:p w14:paraId="444C19FD" w14:textId="401C9B80" w:rsidR="0045702D" w:rsidRPr="00481903" w:rsidRDefault="0045702D" w:rsidP="00481903">
            <w:pPr>
              <w:pStyle w:val="TableText"/>
              <w:spacing w:line="240" w:lineRule="auto"/>
              <w:rPr>
                <w:sz w:val="14"/>
                <w:szCs w:val="14"/>
              </w:rPr>
            </w:pPr>
            <w:r w:rsidRPr="00481903">
              <w:rPr>
                <w:sz w:val="14"/>
                <w:szCs w:val="14"/>
              </w:rPr>
              <w:t xml:space="preserve">5 Feb </w:t>
            </w:r>
            <w:r w:rsidR="00FB1B1C">
              <w:rPr>
                <w:sz w:val="14"/>
                <w:szCs w:val="14"/>
              </w:rPr>
              <w:t>22</w:t>
            </w:r>
          </w:p>
        </w:tc>
        <w:tc>
          <w:tcPr>
            <w:tcW w:w="1457" w:type="dxa"/>
          </w:tcPr>
          <w:p w14:paraId="368DC618" w14:textId="681F503D" w:rsidR="0045702D" w:rsidRPr="00481903" w:rsidRDefault="0045702D" w:rsidP="00481903">
            <w:pPr>
              <w:pStyle w:val="TableText"/>
              <w:spacing w:line="240" w:lineRule="auto"/>
              <w:jc w:val="right"/>
              <w:cnfStyle w:val="000000100000" w:firstRow="0" w:lastRow="0" w:firstColumn="0" w:lastColumn="0" w:oddVBand="0" w:evenVBand="0" w:oddHBand="1" w:evenHBand="0" w:firstRowFirstColumn="0" w:firstRowLastColumn="0" w:lastRowFirstColumn="0" w:lastRowLastColumn="0"/>
              <w:rPr>
                <w:sz w:val="14"/>
                <w:szCs w:val="14"/>
              </w:rPr>
            </w:pPr>
            <w:r w:rsidRPr="00481903">
              <w:rPr>
                <w:sz w:val="14"/>
                <w:szCs w:val="14"/>
              </w:rPr>
              <w:t>32,888</w:t>
            </w:r>
          </w:p>
        </w:tc>
        <w:tc>
          <w:tcPr>
            <w:tcW w:w="1457" w:type="dxa"/>
          </w:tcPr>
          <w:p w14:paraId="77F54F9F" w14:textId="5D8099BF" w:rsidR="0045702D" w:rsidRPr="00481903" w:rsidRDefault="0045702D" w:rsidP="00481903">
            <w:pPr>
              <w:pStyle w:val="TableText"/>
              <w:spacing w:line="240" w:lineRule="auto"/>
              <w:jc w:val="right"/>
              <w:cnfStyle w:val="000000100000" w:firstRow="0" w:lastRow="0" w:firstColumn="0" w:lastColumn="0" w:oddVBand="0" w:evenVBand="0" w:oddHBand="1" w:evenHBand="0" w:firstRowFirstColumn="0" w:firstRowLastColumn="0" w:lastRowFirstColumn="0" w:lastRowLastColumn="0"/>
              <w:rPr>
                <w:sz w:val="14"/>
                <w:szCs w:val="14"/>
              </w:rPr>
            </w:pPr>
            <w:r w:rsidRPr="00481903">
              <w:rPr>
                <w:sz w:val="14"/>
                <w:szCs w:val="14"/>
              </w:rPr>
              <w:t>80</w:t>
            </w:r>
          </w:p>
        </w:tc>
        <w:tc>
          <w:tcPr>
            <w:tcW w:w="1457" w:type="dxa"/>
          </w:tcPr>
          <w:p w14:paraId="18FC7CDA" w14:textId="77777777" w:rsidR="0045702D" w:rsidRPr="00481903" w:rsidRDefault="0045702D" w:rsidP="00481903">
            <w:pPr>
              <w:pStyle w:val="TableText"/>
              <w:spacing w:line="240" w:lineRule="auto"/>
              <w:jc w:val="right"/>
              <w:cnfStyle w:val="000000100000" w:firstRow="0" w:lastRow="0" w:firstColumn="0" w:lastColumn="0" w:oddVBand="0" w:evenVBand="0" w:oddHBand="1" w:evenHBand="0" w:firstRowFirstColumn="0" w:firstRowLastColumn="0" w:lastRowFirstColumn="0" w:lastRowLastColumn="0"/>
              <w:rPr>
                <w:sz w:val="14"/>
                <w:szCs w:val="14"/>
              </w:rPr>
            </w:pPr>
          </w:p>
        </w:tc>
        <w:tc>
          <w:tcPr>
            <w:tcW w:w="1457" w:type="dxa"/>
          </w:tcPr>
          <w:p w14:paraId="294E74DD" w14:textId="77777777" w:rsidR="0045702D" w:rsidRPr="00481903" w:rsidRDefault="0045702D" w:rsidP="00481903">
            <w:pPr>
              <w:pStyle w:val="TableText"/>
              <w:spacing w:line="240" w:lineRule="auto"/>
              <w:jc w:val="right"/>
              <w:cnfStyle w:val="000000100000" w:firstRow="0" w:lastRow="0" w:firstColumn="0" w:lastColumn="0" w:oddVBand="0" w:evenVBand="0" w:oddHBand="1" w:evenHBand="0" w:firstRowFirstColumn="0" w:firstRowLastColumn="0" w:lastRowFirstColumn="0" w:lastRowLastColumn="0"/>
              <w:rPr>
                <w:sz w:val="14"/>
                <w:szCs w:val="14"/>
              </w:rPr>
            </w:pPr>
          </w:p>
        </w:tc>
        <w:tc>
          <w:tcPr>
            <w:tcW w:w="1457" w:type="dxa"/>
          </w:tcPr>
          <w:p w14:paraId="41E60891" w14:textId="77777777" w:rsidR="0045702D" w:rsidRPr="00481903" w:rsidRDefault="0045702D" w:rsidP="00481903">
            <w:pPr>
              <w:pStyle w:val="TableText"/>
              <w:spacing w:line="240" w:lineRule="auto"/>
              <w:jc w:val="right"/>
              <w:cnfStyle w:val="000000100000" w:firstRow="0" w:lastRow="0" w:firstColumn="0" w:lastColumn="0" w:oddVBand="0" w:evenVBand="0" w:oddHBand="1" w:evenHBand="0" w:firstRowFirstColumn="0" w:firstRowLastColumn="0" w:lastRowFirstColumn="0" w:lastRowLastColumn="0"/>
              <w:rPr>
                <w:sz w:val="14"/>
                <w:szCs w:val="14"/>
              </w:rPr>
            </w:pPr>
          </w:p>
        </w:tc>
        <w:tc>
          <w:tcPr>
            <w:tcW w:w="1457" w:type="dxa"/>
          </w:tcPr>
          <w:p w14:paraId="30E38B0D" w14:textId="77777777" w:rsidR="0045702D" w:rsidRPr="00481903" w:rsidRDefault="0045702D" w:rsidP="00481903">
            <w:pPr>
              <w:pStyle w:val="TableText"/>
              <w:spacing w:line="240" w:lineRule="auto"/>
              <w:jc w:val="right"/>
              <w:cnfStyle w:val="000000100000" w:firstRow="0" w:lastRow="0" w:firstColumn="0" w:lastColumn="0" w:oddVBand="0" w:evenVBand="0" w:oddHBand="1" w:evenHBand="0" w:firstRowFirstColumn="0" w:firstRowLastColumn="0" w:lastRowFirstColumn="0" w:lastRowLastColumn="0"/>
              <w:rPr>
                <w:sz w:val="14"/>
                <w:szCs w:val="14"/>
              </w:rPr>
            </w:pPr>
          </w:p>
        </w:tc>
      </w:tr>
      <w:tr w:rsidR="0045702D" w:rsidRPr="00481903" w14:paraId="7671900F" w14:textId="77777777" w:rsidTr="00362BDA">
        <w:tc>
          <w:tcPr>
            <w:cnfStyle w:val="001000000000" w:firstRow="0" w:lastRow="0" w:firstColumn="1" w:lastColumn="0" w:oddVBand="0" w:evenVBand="0" w:oddHBand="0" w:evenHBand="0" w:firstRowFirstColumn="0" w:firstRowLastColumn="0" w:lastRowFirstColumn="0" w:lastRowLastColumn="0"/>
            <w:tcW w:w="1456" w:type="dxa"/>
          </w:tcPr>
          <w:p w14:paraId="75FD6FCF" w14:textId="7D74621B" w:rsidR="0045702D" w:rsidRPr="00481903" w:rsidRDefault="0045702D" w:rsidP="00481903">
            <w:pPr>
              <w:pStyle w:val="TableText"/>
              <w:spacing w:line="240" w:lineRule="auto"/>
              <w:rPr>
                <w:sz w:val="14"/>
                <w:szCs w:val="14"/>
              </w:rPr>
            </w:pPr>
            <w:r w:rsidRPr="00481903">
              <w:rPr>
                <w:sz w:val="14"/>
                <w:szCs w:val="14"/>
              </w:rPr>
              <w:t xml:space="preserve">6 Feb </w:t>
            </w:r>
            <w:r w:rsidR="00FB1B1C">
              <w:rPr>
                <w:sz w:val="14"/>
                <w:szCs w:val="14"/>
              </w:rPr>
              <w:t>22</w:t>
            </w:r>
          </w:p>
        </w:tc>
        <w:tc>
          <w:tcPr>
            <w:tcW w:w="1457" w:type="dxa"/>
          </w:tcPr>
          <w:p w14:paraId="16B75CC0" w14:textId="224B79BA" w:rsidR="0045702D" w:rsidRPr="00481903" w:rsidRDefault="0045702D" w:rsidP="00481903">
            <w:pPr>
              <w:pStyle w:val="TableText"/>
              <w:spacing w:line="240" w:lineRule="auto"/>
              <w:jc w:val="right"/>
              <w:cnfStyle w:val="000000000000" w:firstRow="0" w:lastRow="0" w:firstColumn="0" w:lastColumn="0" w:oddVBand="0" w:evenVBand="0" w:oddHBand="0" w:evenHBand="0" w:firstRowFirstColumn="0" w:firstRowLastColumn="0" w:lastRowFirstColumn="0" w:lastRowLastColumn="0"/>
              <w:rPr>
                <w:sz w:val="14"/>
                <w:szCs w:val="14"/>
              </w:rPr>
            </w:pPr>
            <w:r w:rsidRPr="00481903">
              <w:rPr>
                <w:sz w:val="14"/>
                <w:szCs w:val="14"/>
              </w:rPr>
              <w:t>14,589</w:t>
            </w:r>
          </w:p>
        </w:tc>
        <w:tc>
          <w:tcPr>
            <w:tcW w:w="1457" w:type="dxa"/>
          </w:tcPr>
          <w:p w14:paraId="136DF1AB" w14:textId="29972CB9" w:rsidR="0045702D" w:rsidRPr="00481903" w:rsidRDefault="0045702D" w:rsidP="00481903">
            <w:pPr>
              <w:pStyle w:val="TableText"/>
              <w:spacing w:line="240" w:lineRule="auto"/>
              <w:jc w:val="right"/>
              <w:cnfStyle w:val="000000000000" w:firstRow="0" w:lastRow="0" w:firstColumn="0" w:lastColumn="0" w:oddVBand="0" w:evenVBand="0" w:oddHBand="0" w:evenHBand="0" w:firstRowFirstColumn="0" w:firstRowLastColumn="0" w:lastRowFirstColumn="0" w:lastRowLastColumn="0"/>
              <w:rPr>
                <w:sz w:val="14"/>
                <w:szCs w:val="14"/>
              </w:rPr>
            </w:pPr>
            <w:r w:rsidRPr="00481903">
              <w:rPr>
                <w:sz w:val="14"/>
                <w:szCs w:val="14"/>
              </w:rPr>
              <w:t>80</w:t>
            </w:r>
          </w:p>
        </w:tc>
        <w:tc>
          <w:tcPr>
            <w:tcW w:w="1457" w:type="dxa"/>
          </w:tcPr>
          <w:p w14:paraId="7BDCDE45" w14:textId="77777777" w:rsidR="0045702D" w:rsidRPr="00481903" w:rsidRDefault="0045702D" w:rsidP="00481903">
            <w:pPr>
              <w:pStyle w:val="TableText"/>
              <w:spacing w:line="240" w:lineRule="auto"/>
              <w:jc w:val="right"/>
              <w:cnfStyle w:val="000000000000" w:firstRow="0" w:lastRow="0" w:firstColumn="0" w:lastColumn="0" w:oddVBand="0" w:evenVBand="0" w:oddHBand="0" w:evenHBand="0" w:firstRowFirstColumn="0" w:firstRowLastColumn="0" w:lastRowFirstColumn="0" w:lastRowLastColumn="0"/>
              <w:rPr>
                <w:sz w:val="14"/>
                <w:szCs w:val="14"/>
              </w:rPr>
            </w:pPr>
          </w:p>
        </w:tc>
        <w:tc>
          <w:tcPr>
            <w:tcW w:w="1457" w:type="dxa"/>
          </w:tcPr>
          <w:p w14:paraId="63480343" w14:textId="77777777" w:rsidR="0045702D" w:rsidRPr="00481903" w:rsidRDefault="0045702D" w:rsidP="00481903">
            <w:pPr>
              <w:pStyle w:val="TableText"/>
              <w:spacing w:line="240" w:lineRule="auto"/>
              <w:jc w:val="right"/>
              <w:cnfStyle w:val="000000000000" w:firstRow="0" w:lastRow="0" w:firstColumn="0" w:lastColumn="0" w:oddVBand="0" w:evenVBand="0" w:oddHBand="0" w:evenHBand="0" w:firstRowFirstColumn="0" w:firstRowLastColumn="0" w:lastRowFirstColumn="0" w:lastRowLastColumn="0"/>
              <w:rPr>
                <w:sz w:val="14"/>
                <w:szCs w:val="14"/>
              </w:rPr>
            </w:pPr>
          </w:p>
        </w:tc>
        <w:tc>
          <w:tcPr>
            <w:tcW w:w="1457" w:type="dxa"/>
          </w:tcPr>
          <w:p w14:paraId="5CB20777" w14:textId="77777777" w:rsidR="0045702D" w:rsidRPr="00481903" w:rsidRDefault="0045702D" w:rsidP="00481903">
            <w:pPr>
              <w:pStyle w:val="TableText"/>
              <w:spacing w:line="240" w:lineRule="auto"/>
              <w:jc w:val="right"/>
              <w:cnfStyle w:val="000000000000" w:firstRow="0" w:lastRow="0" w:firstColumn="0" w:lastColumn="0" w:oddVBand="0" w:evenVBand="0" w:oddHBand="0" w:evenHBand="0" w:firstRowFirstColumn="0" w:firstRowLastColumn="0" w:lastRowFirstColumn="0" w:lastRowLastColumn="0"/>
              <w:rPr>
                <w:sz w:val="14"/>
                <w:szCs w:val="14"/>
              </w:rPr>
            </w:pPr>
          </w:p>
        </w:tc>
        <w:tc>
          <w:tcPr>
            <w:tcW w:w="1457" w:type="dxa"/>
          </w:tcPr>
          <w:p w14:paraId="34D5502D" w14:textId="77777777" w:rsidR="0045702D" w:rsidRPr="00481903" w:rsidRDefault="0045702D" w:rsidP="00481903">
            <w:pPr>
              <w:pStyle w:val="TableText"/>
              <w:spacing w:line="240" w:lineRule="auto"/>
              <w:jc w:val="right"/>
              <w:cnfStyle w:val="000000000000" w:firstRow="0" w:lastRow="0" w:firstColumn="0" w:lastColumn="0" w:oddVBand="0" w:evenVBand="0" w:oddHBand="0" w:evenHBand="0" w:firstRowFirstColumn="0" w:firstRowLastColumn="0" w:lastRowFirstColumn="0" w:lastRowLastColumn="0"/>
              <w:rPr>
                <w:sz w:val="14"/>
                <w:szCs w:val="14"/>
              </w:rPr>
            </w:pPr>
          </w:p>
        </w:tc>
      </w:tr>
      <w:tr w:rsidR="0045702D" w:rsidRPr="00481903" w14:paraId="2303C42E" w14:textId="77777777" w:rsidTr="00362B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6" w:type="dxa"/>
          </w:tcPr>
          <w:p w14:paraId="3BA1FE00" w14:textId="52117557" w:rsidR="0045702D" w:rsidRPr="00481903" w:rsidRDefault="0045702D" w:rsidP="00481903">
            <w:pPr>
              <w:pStyle w:val="TableText"/>
              <w:spacing w:line="240" w:lineRule="auto"/>
              <w:rPr>
                <w:sz w:val="14"/>
                <w:szCs w:val="14"/>
              </w:rPr>
            </w:pPr>
            <w:r w:rsidRPr="00481903">
              <w:rPr>
                <w:sz w:val="14"/>
                <w:szCs w:val="14"/>
              </w:rPr>
              <w:t xml:space="preserve">7 Feb </w:t>
            </w:r>
            <w:r w:rsidR="00FB1B1C">
              <w:rPr>
                <w:sz w:val="14"/>
                <w:szCs w:val="14"/>
              </w:rPr>
              <w:t>22</w:t>
            </w:r>
          </w:p>
        </w:tc>
        <w:tc>
          <w:tcPr>
            <w:tcW w:w="1457" w:type="dxa"/>
          </w:tcPr>
          <w:p w14:paraId="509A180C" w14:textId="1DA429DE" w:rsidR="0045702D" w:rsidRPr="00481903" w:rsidRDefault="0045702D" w:rsidP="00481903">
            <w:pPr>
              <w:pStyle w:val="TableText"/>
              <w:spacing w:line="240" w:lineRule="auto"/>
              <w:jc w:val="right"/>
              <w:cnfStyle w:val="000000100000" w:firstRow="0" w:lastRow="0" w:firstColumn="0" w:lastColumn="0" w:oddVBand="0" w:evenVBand="0" w:oddHBand="1" w:evenHBand="0" w:firstRowFirstColumn="0" w:firstRowLastColumn="0" w:lastRowFirstColumn="0" w:lastRowLastColumn="0"/>
              <w:rPr>
                <w:sz w:val="14"/>
                <w:szCs w:val="14"/>
              </w:rPr>
            </w:pPr>
            <w:r w:rsidRPr="00481903">
              <w:rPr>
                <w:sz w:val="14"/>
                <w:szCs w:val="14"/>
              </w:rPr>
              <w:t>25,896</w:t>
            </w:r>
          </w:p>
        </w:tc>
        <w:tc>
          <w:tcPr>
            <w:tcW w:w="1457" w:type="dxa"/>
          </w:tcPr>
          <w:p w14:paraId="42995A3A" w14:textId="279B841C" w:rsidR="0045702D" w:rsidRPr="00481903" w:rsidRDefault="0045702D" w:rsidP="00481903">
            <w:pPr>
              <w:pStyle w:val="TableText"/>
              <w:spacing w:line="240" w:lineRule="auto"/>
              <w:jc w:val="right"/>
              <w:cnfStyle w:val="000000100000" w:firstRow="0" w:lastRow="0" w:firstColumn="0" w:lastColumn="0" w:oddVBand="0" w:evenVBand="0" w:oddHBand="1" w:evenHBand="0" w:firstRowFirstColumn="0" w:firstRowLastColumn="0" w:lastRowFirstColumn="0" w:lastRowLastColumn="0"/>
              <w:rPr>
                <w:sz w:val="14"/>
                <w:szCs w:val="14"/>
              </w:rPr>
            </w:pPr>
            <w:r w:rsidRPr="00481903">
              <w:rPr>
                <w:sz w:val="14"/>
                <w:szCs w:val="14"/>
              </w:rPr>
              <w:t>80</w:t>
            </w:r>
          </w:p>
        </w:tc>
        <w:tc>
          <w:tcPr>
            <w:tcW w:w="1457" w:type="dxa"/>
          </w:tcPr>
          <w:p w14:paraId="1027430F" w14:textId="77777777" w:rsidR="0045702D" w:rsidRPr="00481903" w:rsidRDefault="0045702D" w:rsidP="00481903">
            <w:pPr>
              <w:pStyle w:val="TableText"/>
              <w:spacing w:line="240" w:lineRule="auto"/>
              <w:jc w:val="right"/>
              <w:cnfStyle w:val="000000100000" w:firstRow="0" w:lastRow="0" w:firstColumn="0" w:lastColumn="0" w:oddVBand="0" w:evenVBand="0" w:oddHBand="1" w:evenHBand="0" w:firstRowFirstColumn="0" w:firstRowLastColumn="0" w:lastRowFirstColumn="0" w:lastRowLastColumn="0"/>
              <w:rPr>
                <w:sz w:val="14"/>
                <w:szCs w:val="14"/>
              </w:rPr>
            </w:pPr>
          </w:p>
        </w:tc>
        <w:tc>
          <w:tcPr>
            <w:tcW w:w="1457" w:type="dxa"/>
          </w:tcPr>
          <w:p w14:paraId="4D443DB6" w14:textId="77777777" w:rsidR="0045702D" w:rsidRPr="00481903" w:rsidRDefault="0045702D" w:rsidP="00481903">
            <w:pPr>
              <w:pStyle w:val="TableText"/>
              <w:spacing w:line="240" w:lineRule="auto"/>
              <w:jc w:val="right"/>
              <w:cnfStyle w:val="000000100000" w:firstRow="0" w:lastRow="0" w:firstColumn="0" w:lastColumn="0" w:oddVBand="0" w:evenVBand="0" w:oddHBand="1" w:evenHBand="0" w:firstRowFirstColumn="0" w:firstRowLastColumn="0" w:lastRowFirstColumn="0" w:lastRowLastColumn="0"/>
              <w:rPr>
                <w:sz w:val="14"/>
                <w:szCs w:val="14"/>
              </w:rPr>
            </w:pPr>
          </w:p>
        </w:tc>
        <w:tc>
          <w:tcPr>
            <w:tcW w:w="1457" w:type="dxa"/>
          </w:tcPr>
          <w:p w14:paraId="4E004FD9" w14:textId="77777777" w:rsidR="0045702D" w:rsidRPr="00481903" w:rsidRDefault="0045702D" w:rsidP="00481903">
            <w:pPr>
              <w:pStyle w:val="TableText"/>
              <w:spacing w:line="240" w:lineRule="auto"/>
              <w:jc w:val="right"/>
              <w:cnfStyle w:val="000000100000" w:firstRow="0" w:lastRow="0" w:firstColumn="0" w:lastColumn="0" w:oddVBand="0" w:evenVBand="0" w:oddHBand="1" w:evenHBand="0" w:firstRowFirstColumn="0" w:firstRowLastColumn="0" w:lastRowFirstColumn="0" w:lastRowLastColumn="0"/>
              <w:rPr>
                <w:sz w:val="14"/>
                <w:szCs w:val="14"/>
              </w:rPr>
            </w:pPr>
          </w:p>
        </w:tc>
        <w:tc>
          <w:tcPr>
            <w:tcW w:w="1457" w:type="dxa"/>
          </w:tcPr>
          <w:p w14:paraId="7D0424C6" w14:textId="77777777" w:rsidR="0045702D" w:rsidRPr="00481903" w:rsidRDefault="0045702D" w:rsidP="00481903">
            <w:pPr>
              <w:pStyle w:val="TableText"/>
              <w:spacing w:line="240" w:lineRule="auto"/>
              <w:jc w:val="right"/>
              <w:cnfStyle w:val="000000100000" w:firstRow="0" w:lastRow="0" w:firstColumn="0" w:lastColumn="0" w:oddVBand="0" w:evenVBand="0" w:oddHBand="1" w:evenHBand="0" w:firstRowFirstColumn="0" w:firstRowLastColumn="0" w:lastRowFirstColumn="0" w:lastRowLastColumn="0"/>
              <w:rPr>
                <w:sz w:val="14"/>
                <w:szCs w:val="14"/>
              </w:rPr>
            </w:pPr>
          </w:p>
        </w:tc>
      </w:tr>
      <w:tr w:rsidR="0045702D" w:rsidRPr="00481903" w14:paraId="157DC317" w14:textId="77777777" w:rsidTr="00362BDA">
        <w:tc>
          <w:tcPr>
            <w:cnfStyle w:val="001000000000" w:firstRow="0" w:lastRow="0" w:firstColumn="1" w:lastColumn="0" w:oddVBand="0" w:evenVBand="0" w:oddHBand="0" w:evenHBand="0" w:firstRowFirstColumn="0" w:firstRowLastColumn="0" w:lastRowFirstColumn="0" w:lastRowLastColumn="0"/>
            <w:tcW w:w="1456" w:type="dxa"/>
          </w:tcPr>
          <w:p w14:paraId="627323D2" w14:textId="66EC69FE" w:rsidR="0045702D" w:rsidRPr="00481903" w:rsidRDefault="0045702D" w:rsidP="00481903">
            <w:pPr>
              <w:pStyle w:val="TableText"/>
              <w:spacing w:line="240" w:lineRule="auto"/>
              <w:rPr>
                <w:sz w:val="14"/>
                <w:szCs w:val="14"/>
              </w:rPr>
            </w:pPr>
            <w:r w:rsidRPr="00481903">
              <w:rPr>
                <w:sz w:val="14"/>
                <w:szCs w:val="14"/>
              </w:rPr>
              <w:t xml:space="preserve">8 Feb </w:t>
            </w:r>
            <w:r w:rsidR="00FB1B1C">
              <w:rPr>
                <w:sz w:val="14"/>
                <w:szCs w:val="14"/>
              </w:rPr>
              <w:t>22</w:t>
            </w:r>
          </w:p>
        </w:tc>
        <w:tc>
          <w:tcPr>
            <w:tcW w:w="1457" w:type="dxa"/>
          </w:tcPr>
          <w:p w14:paraId="76321830" w14:textId="787BA614" w:rsidR="0045702D" w:rsidRPr="00481903" w:rsidRDefault="0045702D" w:rsidP="00481903">
            <w:pPr>
              <w:pStyle w:val="TableText"/>
              <w:spacing w:line="240" w:lineRule="auto"/>
              <w:jc w:val="right"/>
              <w:cnfStyle w:val="000000000000" w:firstRow="0" w:lastRow="0" w:firstColumn="0" w:lastColumn="0" w:oddVBand="0" w:evenVBand="0" w:oddHBand="0" w:evenHBand="0" w:firstRowFirstColumn="0" w:firstRowLastColumn="0" w:lastRowFirstColumn="0" w:lastRowLastColumn="0"/>
              <w:rPr>
                <w:sz w:val="14"/>
                <w:szCs w:val="14"/>
              </w:rPr>
            </w:pPr>
            <w:r w:rsidRPr="00481903">
              <w:rPr>
                <w:sz w:val="14"/>
                <w:szCs w:val="14"/>
              </w:rPr>
              <w:t>20,065</w:t>
            </w:r>
          </w:p>
        </w:tc>
        <w:tc>
          <w:tcPr>
            <w:tcW w:w="1457" w:type="dxa"/>
          </w:tcPr>
          <w:p w14:paraId="7AD6CEAA" w14:textId="78E6472E" w:rsidR="0045702D" w:rsidRPr="00481903" w:rsidRDefault="0045702D" w:rsidP="00481903">
            <w:pPr>
              <w:pStyle w:val="TableText"/>
              <w:spacing w:line="240" w:lineRule="auto"/>
              <w:jc w:val="right"/>
              <w:cnfStyle w:val="000000000000" w:firstRow="0" w:lastRow="0" w:firstColumn="0" w:lastColumn="0" w:oddVBand="0" w:evenVBand="0" w:oddHBand="0" w:evenHBand="0" w:firstRowFirstColumn="0" w:firstRowLastColumn="0" w:lastRowFirstColumn="0" w:lastRowLastColumn="0"/>
              <w:rPr>
                <w:sz w:val="14"/>
                <w:szCs w:val="14"/>
              </w:rPr>
            </w:pPr>
            <w:r w:rsidRPr="00481903">
              <w:rPr>
                <w:sz w:val="14"/>
                <w:szCs w:val="14"/>
              </w:rPr>
              <w:t>80</w:t>
            </w:r>
          </w:p>
        </w:tc>
        <w:tc>
          <w:tcPr>
            <w:tcW w:w="1457" w:type="dxa"/>
          </w:tcPr>
          <w:p w14:paraId="1DC338E2" w14:textId="77777777" w:rsidR="0045702D" w:rsidRPr="00481903" w:rsidRDefault="0045702D" w:rsidP="00481903">
            <w:pPr>
              <w:pStyle w:val="TableText"/>
              <w:spacing w:line="240" w:lineRule="auto"/>
              <w:jc w:val="right"/>
              <w:cnfStyle w:val="000000000000" w:firstRow="0" w:lastRow="0" w:firstColumn="0" w:lastColumn="0" w:oddVBand="0" w:evenVBand="0" w:oddHBand="0" w:evenHBand="0" w:firstRowFirstColumn="0" w:firstRowLastColumn="0" w:lastRowFirstColumn="0" w:lastRowLastColumn="0"/>
              <w:rPr>
                <w:sz w:val="14"/>
                <w:szCs w:val="14"/>
              </w:rPr>
            </w:pPr>
          </w:p>
        </w:tc>
        <w:tc>
          <w:tcPr>
            <w:tcW w:w="1457" w:type="dxa"/>
          </w:tcPr>
          <w:p w14:paraId="656A09F2" w14:textId="77777777" w:rsidR="0045702D" w:rsidRPr="00481903" w:rsidRDefault="0045702D" w:rsidP="00481903">
            <w:pPr>
              <w:pStyle w:val="TableText"/>
              <w:spacing w:line="240" w:lineRule="auto"/>
              <w:jc w:val="right"/>
              <w:cnfStyle w:val="000000000000" w:firstRow="0" w:lastRow="0" w:firstColumn="0" w:lastColumn="0" w:oddVBand="0" w:evenVBand="0" w:oddHBand="0" w:evenHBand="0" w:firstRowFirstColumn="0" w:firstRowLastColumn="0" w:lastRowFirstColumn="0" w:lastRowLastColumn="0"/>
              <w:rPr>
                <w:sz w:val="14"/>
                <w:szCs w:val="14"/>
              </w:rPr>
            </w:pPr>
          </w:p>
        </w:tc>
        <w:tc>
          <w:tcPr>
            <w:tcW w:w="1457" w:type="dxa"/>
          </w:tcPr>
          <w:p w14:paraId="300C6C92" w14:textId="77777777" w:rsidR="0045702D" w:rsidRPr="00481903" w:rsidRDefault="0045702D" w:rsidP="00481903">
            <w:pPr>
              <w:pStyle w:val="TableText"/>
              <w:spacing w:line="240" w:lineRule="auto"/>
              <w:jc w:val="right"/>
              <w:cnfStyle w:val="000000000000" w:firstRow="0" w:lastRow="0" w:firstColumn="0" w:lastColumn="0" w:oddVBand="0" w:evenVBand="0" w:oddHBand="0" w:evenHBand="0" w:firstRowFirstColumn="0" w:firstRowLastColumn="0" w:lastRowFirstColumn="0" w:lastRowLastColumn="0"/>
              <w:rPr>
                <w:sz w:val="14"/>
                <w:szCs w:val="14"/>
              </w:rPr>
            </w:pPr>
          </w:p>
        </w:tc>
        <w:tc>
          <w:tcPr>
            <w:tcW w:w="1457" w:type="dxa"/>
          </w:tcPr>
          <w:p w14:paraId="67ADE6D7" w14:textId="77777777" w:rsidR="0045702D" w:rsidRPr="00481903" w:rsidRDefault="0045702D" w:rsidP="00481903">
            <w:pPr>
              <w:pStyle w:val="TableText"/>
              <w:spacing w:line="240" w:lineRule="auto"/>
              <w:jc w:val="right"/>
              <w:cnfStyle w:val="000000000000" w:firstRow="0" w:lastRow="0" w:firstColumn="0" w:lastColumn="0" w:oddVBand="0" w:evenVBand="0" w:oddHBand="0" w:evenHBand="0" w:firstRowFirstColumn="0" w:firstRowLastColumn="0" w:lastRowFirstColumn="0" w:lastRowLastColumn="0"/>
              <w:rPr>
                <w:sz w:val="14"/>
                <w:szCs w:val="14"/>
              </w:rPr>
            </w:pPr>
          </w:p>
        </w:tc>
      </w:tr>
      <w:tr w:rsidR="0045702D" w:rsidRPr="00481903" w14:paraId="7DBE03AC" w14:textId="77777777" w:rsidTr="00362B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6" w:type="dxa"/>
          </w:tcPr>
          <w:p w14:paraId="7301A4A7" w14:textId="3F9D2EEF" w:rsidR="0045702D" w:rsidRPr="00481903" w:rsidRDefault="0045702D" w:rsidP="00481903">
            <w:pPr>
              <w:pStyle w:val="TableText"/>
              <w:spacing w:line="240" w:lineRule="auto"/>
              <w:rPr>
                <w:sz w:val="14"/>
                <w:szCs w:val="14"/>
              </w:rPr>
            </w:pPr>
            <w:r w:rsidRPr="00481903">
              <w:rPr>
                <w:sz w:val="14"/>
                <w:szCs w:val="14"/>
              </w:rPr>
              <w:t xml:space="preserve">9 Feb </w:t>
            </w:r>
            <w:r w:rsidR="00FB1B1C">
              <w:rPr>
                <w:sz w:val="14"/>
                <w:szCs w:val="14"/>
              </w:rPr>
              <w:t>22</w:t>
            </w:r>
          </w:p>
        </w:tc>
        <w:tc>
          <w:tcPr>
            <w:tcW w:w="1457" w:type="dxa"/>
          </w:tcPr>
          <w:p w14:paraId="2116A16E" w14:textId="3776EAC4" w:rsidR="0045702D" w:rsidRPr="00481903" w:rsidRDefault="0045702D" w:rsidP="00481903">
            <w:pPr>
              <w:pStyle w:val="TableText"/>
              <w:spacing w:line="240" w:lineRule="auto"/>
              <w:jc w:val="right"/>
              <w:cnfStyle w:val="000000100000" w:firstRow="0" w:lastRow="0" w:firstColumn="0" w:lastColumn="0" w:oddVBand="0" w:evenVBand="0" w:oddHBand="1" w:evenHBand="0" w:firstRowFirstColumn="0" w:firstRowLastColumn="0" w:lastRowFirstColumn="0" w:lastRowLastColumn="0"/>
              <w:rPr>
                <w:sz w:val="14"/>
                <w:szCs w:val="14"/>
              </w:rPr>
            </w:pPr>
            <w:r w:rsidRPr="00481903">
              <w:rPr>
                <w:sz w:val="14"/>
                <w:szCs w:val="14"/>
              </w:rPr>
              <w:t>18,546</w:t>
            </w:r>
          </w:p>
        </w:tc>
        <w:tc>
          <w:tcPr>
            <w:tcW w:w="1457" w:type="dxa"/>
          </w:tcPr>
          <w:p w14:paraId="7C3BCA68" w14:textId="4C8BE06A" w:rsidR="0045702D" w:rsidRPr="00481903" w:rsidRDefault="0045702D" w:rsidP="00481903">
            <w:pPr>
              <w:pStyle w:val="TableText"/>
              <w:spacing w:line="240" w:lineRule="auto"/>
              <w:jc w:val="right"/>
              <w:cnfStyle w:val="000000100000" w:firstRow="0" w:lastRow="0" w:firstColumn="0" w:lastColumn="0" w:oddVBand="0" w:evenVBand="0" w:oddHBand="1" w:evenHBand="0" w:firstRowFirstColumn="0" w:firstRowLastColumn="0" w:lastRowFirstColumn="0" w:lastRowLastColumn="0"/>
              <w:rPr>
                <w:sz w:val="14"/>
                <w:szCs w:val="14"/>
              </w:rPr>
            </w:pPr>
            <w:r w:rsidRPr="00481903">
              <w:rPr>
                <w:sz w:val="14"/>
                <w:szCs w:val="14"/>
              </w:rPr>
              <w:t>80</w:t>
            </w:r>
          </w:p>
        </w:tc>
        <w:tc>
          <w:tcPr>
            <w:tcW w:w="1457" w:type="dxa"/>
          </w:tcPr>
          <w:p w14:paraId="1CD0E2A2" w14:textId="77777777" w:rsidR="0045702D" w:rsidRPr="00481903" w:rsidRDefault="0045702D" w:rsidP="00481903">
            <w:pPr>
              <w:pStyle w:val="TableText"/>
              <w:spacing w:line="240" w:lineRule="auto"/>
              <w:jc w:val="right"/>
              <w:cnfStyle w:val="000000100000" w:firstRow="0" w:lastRow="0" w:firstColumn="0" w:lastColumn="0" w:oddVBand="0" w:evenVBand="0" w:oddHBand="1" w:evenHBand="0" w:firstRowFirstColumn="0" w:firstRowLastColumn="0" w:lastRowFirstColumn="0" w:lastRowLastColumn="0"/>
              <w:rPr>
                <w:sz w:val="14"/>
                <w:szCs w:val="14"/>
              </w:rPr>
            </w:pPr>
          </w:p>
        </w:tc>
        <w:tc>
          <w:tcPr>
            <w:tcW w:w="1457" w:type="dxa"/>
          </w:tcPr>
          <w:p w14:paraId="1493153B" w14:textId="77777777" w:rsidR="0045702D" w:rsidRPr="00481903" w:rsidRDefault="0045702D" w:rsidP="00481903">
            <w:pPr>
              <w:pStyle w:val="TableText"/>
              <w:spacing w:line="240" w:lineRule="auto"/>
              <w:jc w:val="right"/>
              <w:cnfStyle w:val="000000100000" w:firstRow="0" w:lastRow="0" w:firstColumn="0" w:lastColumn="0" w:oddVBand="0" w:evenVBand="0" w:oddHBand="1" w:evenHBand="0" w:firstRowFirstColumn="0" w:firstRowLastColumn="0" w:lastRowFirstColumn="0" w:lastRowLastColumn="0"/>
              <w:rPr>
                <w:sz w:val="14"/>
                <w:szCs w:val="14"/>
              </w:rPr>
            </w:pPr>
          </w:p>
        </w:tc>
        <w:tc>
          <w:tcPr>
            <w:tcW w:w="1457" w:type="dxa"/>
          </w:tcPr>
          <w:p w14:paraId="69A22AA2" w14:textId="77777777" w:rsidR="0045702D" w:rsidRPr="00481903" w:rsidRDefault="0045702D" w:rsidP="00481903">
            <w:pPr>
              <w:pStyle w:val="TableText"/>
              <w:spacing w:line="240" w:lineRule="auto"/>
              <w:jc w:val="right"/>
              <w:cnfStyle w:val="000000100000" w:firstRow="0" w:lastRow="0" w:firstColumn="0" w:lastColumn="0" w:oddVBand="0" w:evenVBand="0" w:oddHBand="1" w:evenHBand="0" w:firstRowFirstColumn="0" w:firstRowLastColumn="0" w:lastRowFirstColumn="0" w:lastRowLastColumn="0"/>
              <w:rPr>
                <w:sz w:val="14"/>
                <w:szCs w:val="14"/>
              </w:rPr>
            </w:pPr>
          </w:p>
        </w:tc>
        <w:tc>
          <w:tcPr>
            <w:tcW w:w="1457" w:type="dxa"/>
          </w:tcPr>
          <w:p w14:paraId="0D4A7D85" w14:textId="77777777" w:rsidR="0045702D" w:rsidRPr="00481903" w:rsidRDefault="0045702D" w:rsidP="00481903">
            <w:pPr>
              <w:pStyle w:val="TableText"/>
              <w:spacing w:line="240" w:lineRule="auto"/>
              <w:jc w:val="right"/>
              <w:cnfStyle w:val="000000100000" w:firstRow="0" w:lastRow="0" w:firstColumn="0" w:lastColumn="0" w:oddVBand="0" w:evenVBand="0" w:oddHBand="1" w:evenHBand="0" w:firstRowFirstColumn="0" w:firstRowLastColumn="0" w:lastRowFirstColumn="0" w:lastRowLastColumn="0"/>
              <w:rPr>
                <w:sz w:val="14"/>
                <w:szCs w:val="14"/>
              </w:rPr>
            </w:pPr>
          </w:p>
        </w:tc>
      </w:tr>
      <w:tr w:rsidR="0045702D" w:rsidRPr="00481903" w14:paraId="3329EC80" w14:textId="77777777" w:rsidTr="00362BDA">
        <w:tc>
          <w:tcPr>
            <w:cnfStyle w:val="001000000000" w:firstRow="0" w:lastRow="0" w:firstColumn="1" w:lastColumn="0" w:oddVBand="0" w:evenVBand="0" w:oddHBand="0" w:evenHBand="0" w:firstRowFirstColumn="0" w:firstRowLastColumn="0" w:lastRowFirstColumn="0" w:lastRowLastColumn="0"/>
            <w:tcW w:w="1456" w:type="dxa"/>
          </w:tcPr>
          <w:p w14:paraId="58620B27" w14:textId="1864B81E" w:rsidR="0045702D" w:rsidRPr="00481903" w:rsidRDefault="0045702D" w:rsidP="00481903">
            <w:pPr>
              <w:pStyle w:val="TableText"/>
              <w:spacing w:line="240" w:lineRule="auto"/>
              <w:rPr>
                <w:sz w:val="14"/>
                <w:szCs w:val="14"/>
              </w:rPr>
            </w:pPr>
            <w:r w:rsidRPr="00481903">
              <w:rPr>
                <w:sz w:val="14"/>
                <w:szCs w:val="14"/>
              </w:rPr>
              <w:t xml:space="preserve">10 Feb </w:t>
            </w:r>
            <w:r w:rsidR="00FB1B1C">
              <w:rPr>
                <w:sz w:val="14"/>
                <w:szCs w:val="14"/>
              </w:rPr>
              <w:t>22</w:t>
            </w:r>
          </w:p>
        </w:tc>
        <w:tc>
          <w:tcPr>
            <w:tcW w:w="1457" w:type="dxa"/>
          </w:tcPr>
          <w:p w14:paraId="4452AE9C" w14:textId="1A453E79" w:rsidR="0045702D" w:rsidRPr="00481903" w:rsidRDefault="0045702D" w:rsidP="00481903">
            <w:pPr>
              <w:pStyle w:val="TableText"/>
              <w:spacing w:line="240" w:lineRule="auto"/>
              <w:jc w:val="right"/>
              <w:cnfStyle w:val="000000000000" w:firstRow="0" w:lastRow="0" w:firstColumn="0" w:lastColumn="0" w:oddVBand="0" w:evenVBand="0" w:oddHBand="0" w:evenHBand="0" w:firstRowFirstColumn="0" w:firstRowLastColumn="0" w:lastRowFirstColumn="0" w:lastRowLastColumn="0"/>
              <w:rPr>
                <w:sz w:val="14"/>
                <w:szCs w:val="14"/>
              </w:rPr>
            </w:pPr>
            <w:r w:rsidRPr="00481903">
              <w:rPr>
                <w:sz w:val="14"/>
                <w:szCs w:val="14"/>
              </w:rPr>
              <w:t>17,520</w:t>
            </w:r>
          </w:p>
        </w:tc>
        <w:tc>
          <w:tcPr>
            <w:tcW w:w="1457" w:type="dxa"/>
          </w:tcPr>
          <w:p w14:paraId="33016F8A" w14:textId="36187A57" w:rsidR="0045702D" w:rsidRPr="00481903" w:rsidRDefault="0045702D" w:rsidP="00481903">
            <w:pPr>
              <w:pStyle w:val="TableText"/>
              <w:spacing w:line="240" w:lineRule="auto"/>
              <w:jc w:val="right"/>
              <w:cnfStyle w:val="000000000000" w:firstRow="0" w:lastRow="0" w:firstColumn="0" w:lastColumn="0" w:oddVBand="0" w:evenVBand="0" w:oddHBand="0" w:evenHBand="0" w:firstRowFirstColumn="0" w:firstRowLastColumn="0" w:lastRowFirstColumn="0" w:lastRowLastColumn="0"/>
              <w:rPr>
                <w:sz w:val="14"/>
                <w:szCs w:val="14"/>
              </w:rPr>
            </w:pPr>
            <w:r w:rsidRPr="00481903">
              <w:rPr>
                <w:sz w:val="14"/>
                <w:szCs w:val="14"/>
              </w:rPr>
              <w:t>80</w:t>
            </w:r>
          </w:p>
        </w:tc>
        <w:tc>
          <w:tcPr>
            <w:tcW w:w="1457" w:type="dxa"/>
          </w:tcPr>
          <w:p w14:paraId="5920C4F1" w14:textId="77777777" w:rsidR="0045702D" w:rsidRPr="00481903" w:rsidRDefault="0045702D" w:rsidP="00481903">
            <w:pPr>
              <w:pStyle w:val="TableText"/>
              <w:spacing w:line="240" w:lineRule="auto"/>
              <w:jc w:val="right"/>
              <w:cnfStyle w:val="000000000000" w:firstRow="0" w:lastRow="0" w:firstColumn="0" w:lastColumn="0" w:oddVBand="0" w:evenVBand="0" w:oddHBand="0" w:evenHBand="0" w:firstRowFirstColumn="0" w:firstRowLastColumn="0" w:lastRowFirstColumn="0" w:lastRowLastColumn="0"/>
              <w:rPr>
                <w:sz w:val="14"/>
                <w:szCs w:val="14"/>
              </w:rPr>
            </w:pPr>
          </w:p>
        </w:tc>
        <w:tc>
          <w:tcPr>
            <w:tcW w:w="1457" w:type="dxa"/>
          </w:tcPr>
          <w:p w14:paraId="59303A26" w14:textId="77777777" w:rsidR="0045702D" w:rsidRPr="00481903" w:rsidRDefault="0045702D" w:rsidP="00481903">
            <w:pPr>
              <w:pStyle w:val="TableText"/>
              <w:spacing w:line="240" w:lineRule="auto"/>
              <w:jc w:val="right"/>
              <w:cnfStyle w:val="000000000000" w:firstRow="0" w:lastRow="0" w:firstColumn="0" w:lastColumn="0" w:oddVBand="0" w:evenVBand="0" w:oddHBand="0" w:evenHBand="0" w:firstRowFirstColumn="0" w:firstRowLastColumn="0" w:lastRowFirstColumn="0" w:lastRowLastColumn="0"/>
              <w:rPr>
                <w:sz w:val="14"/>
                <w:szCs w:val="14"/>
              </w:rPr>
            </w:pPr>
          </w:p>
        </w:tc>
        <w:tc>
          <w:tcPr>
            <w:tcW w:w="1457" w:type="dxa"/>
          </w:tcPr>
          <w:p w14:paraId="2A33B386" w14:textId="77777777" w:rsidR="0045702D" w:rsidRPr="00481903" w:rsidRDefault="0045702D" w:rsidP="00481903">
            <w:pPr>
              <w:pStyle w:val="TableText"/>
              <w:spacing w:line="240" w:lineRule="auto"/>
              <w:jc w:val="right"/>
              <w:cnfStyle w:val="000000000000" w:firstRow="0" w:lastRow="0" w:firstColumn="0" w:lastColumn="0" w:oddVBand="0" w:evenVBand="0" w:oddHBand="0" w:evenHBand="0" w:firstRowFirstColumn="0" w:firstRowLastColumn="0" w:lastRowFirstColumn="0" w:lastRowLastColumn="0"/>
              <w:rPr>
                <w:sz w:val="14"/>
                <w:szCs w:val="14"/>
              </w:rPr>
            </w:pPr>
          </w:p>
        </w:tc>
        <w:tc>
          <w:tcPr>
            <w:tcW w:w="1457" w:type="dxa"/>
          </w:tcPr>
          <w:p w14:paraId="1C7AEEDA" w14:textId="77777777" w:rsidR="0045702D" w:rsidRPr="00481903" w:rsidRDefault="0045702D" w:rsidP="00481903">
            <w:pPr>
              <w:pStyle w:val="TableText"/>
              <w:spacing w:line="240" w:lineRule="auto"/>
              <w:jc w:val="right"/>
              <w:cnfStyle w:val="000000000000" w:firstRow="0" w:lastRow="0" w:firstColumn="0" w:lastColumn="0" w:oddVBand="0" w:evenVBand="0" w:oddHBand="0" w:evenHBand="0" w:firstRowFirstColumn="0" w:firstRowLastColumn="0" w:lastRowFirstColumn="0" w:lastRowLastColumn="0"/>
              <w:rPr>
                <w:sz w:val="14"/>
                <w:szCs w:val="14"/>
              </w:rPr>
            </w:pPr>
          </w:p>
        </w:tc>
      </w:tr>
      <w:tr w:rsidR="0045702D" w:rsidRPr="00481903" w14:paraId="0FF70CD0" w14:textId="77777777" w:rsidTr="00362B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6" w:type="dxa"/>
          </w:tcPr>
          <w:p w14:paraId="27A965BE" w14:textId="729D856E" w:rsidR="0045702D" w:rsidRPr="00481903" w:rsidRDefault="0045702D" w:rsidP="00481903">
            <w:pPr>
              <w:pStyle w:val="TableText"/>
              <w:spacing w:line="240" w:lineRule="auto"/>
              <w:rPr>
                <w:sz w:val="14"/>
                <w:szCs w:val="14"/>
              </w:rPr>
            </w:pPr>
            <w:r w:rsidRPr="00481903">
              <w:rPr>
                <w:sz w:val="14"/>
                <w:szCs w:val="14"/>
              </w:rPr>
              <w:t xml:space="preserve">11 Feb </w:t>
            </w:r>
            <w:r w:rsidR="00FB1B1C">
              <w:rPr>
                <w:sz w:val="14"/>
                <w:szCs w:val="14"/>
              </w:rPr>
              <w:t>22</w:t>
            </w:r>
          </w:p>
        </w:tc>
        <w:tc>
          <w:tcPr>
            <w:tcW w:w="1457" w:type="dxa"/>
          </w:tcPr>
          <w:p w14:paraId="28B0EE82" w14:textId="69E5FC44" w:rsidR="0045702D" w:rsidRPr="00481903" w:rsidRDefault="0045702D" w:rsidP="00481903">
            <w:pPr>
              <w:pStyle w:val="TableText"/>
              <w:spacing w:line="240" w:lineRule="auto"/>
              <w:jc w:val="right"/>
              <w:cnfStyle w:val="000000100000" w:firstRow="0" w:lastRow="0" w:firstColumn="0" w:lastColumn="0" w:oddVBand="0" w:evenVBand="0" w:oddHBand="1" w:evenHBand="0" w:firstRowFirstColumn="0" w:firstRowLastColumn="0" w:lastRowFirstColumn="0" w:lastRowLastColumn="0"/>
              <w:rPr>
                <w:sz w:val="14"/>
                <w:szCs w:val="14"/>
              </w:rPr>
            </w:pPr>
            <w:r w:rsidRPr="00481903">
              <w:rPr>
                <w:sz w:val="14"/>
                <w:szCs w:val="14"/>
              </w:rPr>
              <w:t>21,000</w:t>
            </w:r>
          </w:p>
        </w:tc>
        <w:tc>
          <w:tcPr>
            <w:tcW w:w="1457" w:type="dxa"/>
          </w:tcPr>
          <w:p w14:paraId="26BACBD1" w14:textId="5DF3F767" w:rsidR="0045702D" w:rsidRPr="00481903" w:rsidRDefault="0045702D" w:rsidP="00481903">
            <w:pPr>
              <w:pStyle w:val="TableText"/>
              <w:spacing w:line="240" w:lineRule="auto"/>
              <w:jc w:val="right"/>
              <w:cnfStyle w:val="000000100000" w:firstRow="0" w:lastRow="0" w:firstColumn="0" w:lastColumn="0" w:oddVBand="0" w:evenVBand="0" w:oddHBand="1" w:evenHBand="0" w:firstRowFirstColumn="0" w:firstRowLastColumn="0" w:lastRowFirstColumn="0" w:lastRowLastColumn="0"/>
              <w:rPr>
                <w:sz w:val="14"/>
                <w:szCs w:val="14"/>
              </w:rPr>
            </w:pPr>
            <w:r w:rsidRPr="00481903">
              <w:rPr>
                <w:sz w:val="14"/>
                <w:szCs w:val="14"/>
              </w:rPr>
              <w:t>80</w:t>
            </w:r>
          </w:p>
        </w:tc>
        <w:tc>
          <w:tcPr>
            <w:tcW w:w="1457" w:type="dxa"/>
          </w:tcPr>
          <w:p w14:paraId="6729DB8D" w14:textId="77777777" w:rsidR="0045702D" w:rsidRPr="00481903" w:rsidRDefault="0045702D" w:rsidP="00481903">
            <w:pPr>
              <w:pStyle w:val="TableText"/>
              <w:spacing w:line="240" w:lineRule="auto"/>
              <w:jc w:val="right"/>
              <w:cnfStyle w:val="000000100000" w:firstRow="0" w:lastRow="0" w:firstColumn="0" w:lastColumn="0" w:oddVBand="0" w:evenVBand="0" w:oddHBand="1" w:evenHBand="0" w:firstRowFirstColumn="0" w:firstRowLastColumn="0" w:lastRowFirstColumn="0" w:lastRowLastColumn="0"/>
              <w:rPr>
                <w:sz w:val="14"/>
                <w:szCs w:val="14"/>
              </w:rPr>
            </w:pPr>
          </w:p>
        </w:tc>
        <w:tc>
          <w:tcPr>
            <w:tcW w:w="1457" w:type="dxa"/>
          </w:tcPr>
          <w:p w14:paraId="4BD8AD21" w14:textId="77777777" w:rsidR="0045702D" w:rsidRPr="00481903" w:rsidRDefault="0045702D" w:rsidP="00481903">
            <w:pPr>
              <w:pStyle w:val="TableText"/>
              <w:spacing w:line="240" w:lineRule="auto"/>
              <w:jc w:val="right"/>
              <w:cnfStyle w:val="000000100000" w:firstRow="0" w:lastRow="0" w:firstColumn="0" w:lastColumn="0" w:oddVBand="0" w:evenVBand="0" w:oddHBand="1" w:evenHBand="0" w:firstRowFirstColumn="0" w:firstRowLastColumn="0" w:lastRowFirstColumn="0" w:lastRowLastColumn="0"/>
              <w:rPr>
                <w:sz w:val="14"/>
                <w:szCs w:val="14"/>
              </w:rPr>
            </w:pPr>
          </w:p>
        </w:tc>
        <w:tc>
          <w:tcPr>
            <w:tcW w:w="1457" w:type="dxa"/>
          </w:tcPr>
          <w:p w14:paraId="52769CF6" w14:textId="77777777" w:rsidR="0045702D" w:rsidRPr="00481903" w:rsidRDefault="0045702D" w:rsidP="00481903">
            <w:pPr>
              <w:pStyle w:val="TableText"/>
              <w:spacing w:line="240" w:lineRule="auto"/>
              <w:jc w:val="right"/>
              <w:cnfStyle w:val="000000100000" w:firstRow="0" w:lastRow="0" w:firstColumn="0" w:lastColumn="0" w:oddVBand="0" w:evenVBand="0" w:oddHBand="1" w:evenHBand="0" w:firstRowFirstColumn="0" w:firstRowLastColumn="0" w:lastRowFirstColumn="0" w:lastRowLastColumn="0"/>
              <w:rPr>
                <w:sz w:val="14"/>
                <w:szCs w:val="14"/>
              </w:rPr>
            </w:pPr>
          </w:p>
        </w:tc>
        <w:tc>
          <w:tcPr>
            <w:tcW w:w="1457" w:type="dxa"/>
          </w:tcPr>
          <w:p w14:paraId="2B705845" w14:textId="77777777" w:rsidR="0045702D" w:rsidRPr="00481903" w:rsidRDefault="0045702D" w:rsidP="00481903">
            <w:pPr>
              <w:pStyle w:val="TableText"/>
              <w:spacing w:line="240" w:lineRule="auto"/>
              <w:jc w:val="right"/>
              <w:cnfStyle w:val="000000100000" w:firstRow="0" w:lastRow="0" w:firstColumn="0" w:lastColumn="0" w:oddVBand="0" w:evenVBand="0" w:oddHBand="1" w:evenHBand="0" w:firstRowFirstColumn="0" w:firstRowLastColumn="0" w:lastRowFirstColumn="0" w:lastRowLastColumn="0"/>
              <w:rPr>
                <w:sz w:val="14"/>
                <w:szCs w:val="14"/>
              </w:rPr>
            </w:pPr>
          </w:p>
        </w:tc>
      </w:tr>
      <w:tr w:rsidR="0045702D" w:rsidRPr="00481903" w14:paraId="2F5D46B2" w14:textId="77777777" w:rsidTr="00362BDA">
        <w:tc>
          <w:tcPr>
            <w:cnfStyle w:val="001000000000" w:firstRow="0" w:lastRow="0" w:firstColumn="1" w:lastColumn="0" w:oddVBand="0" w:evenVBand="0" w:oddHBand="0" w:evenHBand="0" w:firstRowFirstColumn="0" w:firstRowLastColumn="0" w:lastRowFirstColumn="0" w:lastRowLastColumn="0"/>
            <w:tcW w:w="1456" w:type="dxa"/>
          </w:tcPr>
          <w:p w14:paraId="280C432C" w14:textId="122998D0" w:rsidR="0045702D" w:rsidRPr="00481903" w:rsidRDefault="0045702D" w:rsidP="00481903">
            <w:pPr>
              <w:pStyle w:val="TableText"/>
              <w:spacing w:line="240" w:lineRule="auto"/>
              <w:rPr>
                <w:sz w:val="14"/>
                <w:szCs w:val="14"/>
              </w:rPr>
            </w:pPr>
            <w:r w:rsidRPr="00481903">
              <w:rPr>
                <w:sz w:val="14"/>
                <w:szCs w:val="14"/>
              </w:rPr>
              <w:t xml:space="preserve">12 Feb </w:t>
            </w:r>
            <w:r w:rsidR="00FB1B1C">
              <w:rPr>
                <w:sz w:val="14"/>
                <w:szCs w:val="14"/>
              </w:rPr>
              <w:t>22</w:t>
            </w:r>
          </w:p>
        </w:tc>
        <w:tc>
          <w:tcPr>
            <w:tcW w:w="1457" w:type="dxa"/>
          </w:tcPr>
          <w:p w14:paraId="7979B27E" w14:textId="012C9F34" w:rsidR="0045702D" w:rsidRPr="00481903" w:rsidRDefault="0045702D" w:rsidP="00481903">
            <w:pPr>
              <w:pStyle w:val="TableText"/>
              <w:spacing w:line="240" w:lineRule="auto"/>
              <w:jc w:val="right"/>
              <w:cnfStyle w:val="000000000000" w:firstRow="0" w:lastRow="0" w:firstColumn="0" w:lastColumn="0" w:oddVBand="0" w:evenVBand="0" w:oddHBand="0" w:evenHBand="0" w:firstRowFirstColumn="0" w:firstRowLastColumn="0" w:lastRowFirstColumn="0" w:lastRowLastColumn="0"/>
              <w:rPr>
                <w:sz w:val="14"/>
                <w:szCs w:val="14"/>
              </w:rPr>
            </w:pPr>
            <w:r w:rsidRPr="00481903">
              <w:rPr>
                <w:sz w:val="14"/>
                <w:szCs w:val="14"/>
              </w:rPr>
              <w:t>28,712</w:t>
            </w:r>
          </w:p>
        </w:tc>
        <w:tc>
          <w:tcPr>
            <w:tcW w:w="1457" w:type="dxa"/>
          </w:tcPr>
          <w:p w14:paraId="4CC17EDD" w14:textId="52DBC0FC" w:rsidR="0045702D" w:rsidRPr="00481903" w:rsidRDefault="0045702D" w:rsidP="00481903">
            <w:pPr>
              <w:pStyle w:val="TableText"/>
              <w:spacing w:line="240" w:lineRule="auto"/>
              <w:jc w:val="right"/>
              <w:cnfStyle w:val="000000000000" w:firstRow="0" w:lastRow="0" w:firstColumn="0" w:lastColumn="0" w:oddVBand="0" w:evenVBand="0" w:oddHBand="0" w:evenHBand="0" w:firstRowFirstColumn="0" w:firstRowLastColumn="0" w:lastRowFirstColumn="0" w:lastRowLastColumn="0"/>
              <w:rPr>
                <w:sz w:val="14"/>
                <w:szCs w:val="14"/>
              </w:rPr>
            </w:pPr>
            <w:r w:rsidRPr="00481903">
              <w:rPr>
                <w:sz w:val="14"/>
                <w:szCs w:val="14"/>
              </w:rPr>
              <w:t>80</w:t>
            </w:r>
          </w:p>
        </w:tc>
        <w:tc>
          <w:tcPr>
            <w:tcW w:w="1457" w:type="dxa"/>
          </w:tcPr>
          <w:p w14:paraId="362CBE20" w14:textId="77777777" w:rsidR="0045702D" w:rsidRPr="00481903" w:rsidRDefault="0045702D" w:rsidP="00481903">
            <w:pPr>
              <w:pStyle w:val="TableText"/>
              <w:spacing w:line="240" w:lineRule="auto"/>
              <w:jc w:val="right"/>
              <w:cnfStyle w:val="000000000000" w:firstRow="0" w:lastRow="0" w:firstColumn="0" w:lastColumn="0" w:oddVBand="0" w:evenVBand="0" w:oddHBand="0" w:evenHBand="0" w:firstRowFirstColumn="0" w:firstRowLastColumn="0" w:lastRowFirstColumn="0" w:lastRowLastColumn="0"/>
              <w:rPr>
                <w:sz w:val="14"/>
                <w:szCs w:val="14"/>
              </w:rPr>
            </w:pPr>
          </w:p>
        </w:tc>
        <w:tc>
          <w:tcPr>
            <w:tcW w:w="1457" w:type="dxa"/>
          </w:tcPr>
          <w:p w14:paraId="6D86A34B" w14:textId="77777777" w:rsidR="0045702D" w:rsidRPr="00481903" w:rsidRDefault="0045702D" w:rsidP="00481903">
            <w:pPr>
              <w:pStyle w:val="TableText"/>
              <w:spacing w:line="240" w:lineRule="auto"/>
              <w:jc w:val="right"/>
              <w:cnfStyle w:val="000000000000" w:firstRow="0" w:lastRow="0" w:firstColumn="0" w:lastColumn="0" w:oddVBand="0" w:evenVBand="0" w:oddHBand="0" w:evenHBand="0" w:firstRowFirstColumn="0" w:firstRowLastColumn="0" w:lastRowFirstColumn="0" w:lastRowLastColumn="0"/>
              <w:rPr>
                <w:sz w:val="14"/>
                <w:szCs w:val="14"/>
              </w:rPr>
            </w:pPr>
          </w:p>
        </w:tc>
        <w:tc>
          <w:tcPr>
            <w:tcW w:w="1457" w:type="dxa"/>
          </w:tcPr>
          <w:p w14:paraId="613373FF" w14:textId="77777777" w:rsidR="0045702D" w:rsidRPr="00481903" w:rsidRDefault="0045702D" w:rsidP="00481903">
            <w:pPr>
              <w:pStyle w:val="TableText"/>
              <w:spacing w:line="240" w:lineRule="auto"/>
              <w:jc w:val="right"/>
              <w:cnfStyle w:val="000000000000" w:firstRow="0" w:lastRow="0" w:firstColumn="0" w:lastColumn="0" w:oddVBand="0" w:evenVBand="0" w:oddHBand="0" w:evenHBand="0" w:firstRowFirstColumn="0" w:firstRowLastColumn="0" w:lastRowFirstColumn="0" w:lastRowLastColumn="0"/>
              <w:rPr>
                <w:sz w:val="14"/>
                <w:szCs w:val="14"/>
              </w:rPr>
            </w:pPr>
          </w:p>
        </w:tc>
        <w:tc>
          <w:tcPr>
            <w:tcW w:w="1457" w:type="dxa"/>
          </w:tcPr>
          <w:p w14:paraId="0DF5F24E" w14:textId="77777777" w:rsidR="0045702D" w:rsidRPr="00481903" w:rsidRDefault="0045702D" w:rsidP="00481903">
            <w:pPr>
              <w:pStyle w:val="TableText"/>
              <w:spacing w:line="240" w:lineRule="auto"/>
              <w:jc w:val="right"/>
              <w:cnfStyle w:val="000000000000" w:firstRow="0" w:lastRow="0" w:firstColumn="0" w:lastColumn="0" w:oddVBand="0" w:evenVBand="0" w:oddHBand="0" w:evenHBand="0" w:firstRowFirstColumn="0" w:firstRowLastColumn="0" w:lastRowFirstColumn="0" w:lastRowLastColumn="0"/>
              <w:rPr>
                <w:sz w:val="14"/>
                <w:szCs w:val="14"/>
              </w:rPr>
            </w:pPr>
          </w:p>
        </w:tc>
      </w:tr>
      <w:tr w:rsidR="001F6251" w:rsidRPr="00481903" w14:paraId="479ADA20" w14:textId="77777777" w:rsidTr="00362B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6" w:type="dxa"/>
          </w:tcPr>
          <w:p w14:paraId="6F148FB6" w14:textId="6FBF50DD" w:rsidR="0045702D" w:rsidRPr="00481903" w:rsidRDefault="0045702D" w:rsidP="00481903">
            <w:pPr>
              <w:pStyle w:val="TableText"/>
              <w:spacing w:line="240" w:lineRule="auto"/>
              <w:rPr>
                <w:sz w:val="14"/>
                <w:szCs w:val="14"/>
              </w:rPr>
            </w:pPr>
            <w:r w:rsidRPr="00481903">
              <w:rPr>
                <w:sz w:val="14"/>
                <w:szCs w:val="14"/>
              </w:rPr>
              <w:t xml:space="preserve">13 Feb </w:t>
            </w:r>
            <w:r w:rsidR="00FB1B1C">
              <w:rPr>
                <w:sz w:val="14"/>
                <w:szCs w:val="14"/>
              </w:rPr>
              <w:t>22</w:t>
            </w:r>
          </w:p>
        </w:tc>
        <w:tc>
          <w:tcPr>
            <w:tcW w:w="1457" w:type="dxa"/>
          </w:tcPr>
          <w:p w14:paraId="02DA33C7" w14:textId="20E9ABB7" w:rsidR="0045702D" w:rsidRPr="00481903" w:rsidRDefault="0045702D" w:rsidP="00481903">
            <w:pPr>
              <w:pStyle w:val="TableText"/>
              <w:spacing w:line="240" w:lineRule="auto"/>
              <w:jc w:val="right"/>
              <w:cnfStyle w:val="000000100000" w:firstRow="0" w:lastRow="0" w:firstColumn="0" w:lastColumn="0" w:oddVBand="0" w:evenVBand="0" w:oddHBand="1" w:evenHBand="0" w:firstRowFirstColumn="0" w:firstRowLastColumn="0" w:lastRowFirstColumn="0" w:lastRowLastColumn="0"/>
              <w:rPr>
                <w:sz w:val="14"/>
                <w:szCs w:val="14"/>
              </w:rPr>
            </w:pPr>
            <w:r w:rsidRPr="00481903">
              <w:rPr>
                <w:sz w:val="14"/>
                <w:szCs w:val="14"/>
              </w:rPr>
              <w:t>20,145</w:t>
            </w:r>
          </w:p>
        </w:tc>
        <w:tc>
          <w:tcPr>
            <w:tcW w:w="1457" w:type="dxa"/>
          </w:tcPr>
          <w:p w14:paraId="08011A1C" w14:textId="09E5BE59" w:rsidR="0045702D" w:rsidRPr="00481903" w:rsidRDefault="0045702D" w:rsidP="00481903">
            <w:pPr>
              <w:pStyle w:val="TableText"/>
              <w:spacing w:line="240" w:lineRule="auto"/>
              <w:jc w:val="right"/>
              <w:cnfStyle w:val="000000100000" w:firstRow="0" w:lastRow="0" w:firstColumn="0" w:lastColumn="0" w:oddVBand="0" w:evenVBand="0" w:oddHBand="1" w:evenHBand="0" w:firstRowFirstColumn="0" w:firstRowLastColumn="0" w:lastRowFirstColumn="0" w:lastRowLastColumn="0"/>
              <w:rPr>
                <w:sz w:val="14"/>
                <w:szCs w:val="14"/>
              </w:rPr>
            </w:pPr>
            <w:r w:rsidRPr="00481903">
              <w:rPr>
                <w:sz w:val="14"/>
                <w:szCs w:val="14"/>
              </w:rPr>
              <w:t>80</w:t>
            </w:r>
          </w:p>
        </w:tc>
        <w:tc>
          <w:tcPr>
            <w:tcW w:w="1457" w:type="dxa"/>
          </w:tcPr>
          <w:p w14:paraId="2D535C39" w14:textId="77777777" w:rsidR="0045702D" w:rsidRPr="00481903" w:rsidRDefault="0045702D" w:rsidP="00481903">
            <w:pPr>
              <w:pStyle w:val="TableText"/>
              <w:spacing w:line="240" w:lineRule="auto"/>
              <w:jc w:val="right"/>
              <w:cnfStyle w:val="000000100000" w:firstRow="0" w:lastRow="0" w:firstColumn="0" w:lastColumn="0" w:oddVBand="0" w:evenVBand="0" w:oddHBand="1" w:evenHBand="0" w:firstRowFirstColumn="0" w:firstRowLastColumn="0" w:lastRowFirstColumn="0" w:lastRowLastColumn="0"/>
              <w:rPr>
                <w:sz w:val="14"/>
                <w:szCs w:val="14"/>
              </w:rPr>
            </w:pPr>
          </w:p>
        </w:tc>
        <w:tc>
          <w:tcPr>
            <w:tcW w:w="1457" w:type="dxa"/>
          </w:tcPr>
          <w:p w14:paraId="7205BC14" w14:textId="77777777" w:rsidR="0045702D" w:rsidRPr="00481903" w:rsidRDefault="0045702D" w:rsidP="00481903">
            <w:pPr>
              <w:pStyle w:val="TableText"/>
              <w:spacing w:line="240" w:lineRule="auto"/>
              <w:jc w:val="right"/>
              <w:cnfStyle w:val="000000100000" w:firstRow="0" w:lastRow="0" w:firstColumn="0" w:lastColumn="0" w:oddVBand="0" w:evenVBand="0" w:oddHBand="1" w:evenHBand="0" w:firstRowFirstColumn="0" w:firstRowLastColumn="0" w:lastRowFirstColumn="0" w:lastRowLastColumn="0"/>
              <w:rPr>
                <w:sz w:val="14"/>
                <w:szCs w:val="14"/>
              </w:rPr>
            </w:pPr>
          </w:p>
        </w:tc>
        <w:tc>
          <w:tcPr>
            <w:tcW w:w="1457" w:type="dxa"/>
          </w:tcPr>
          <w:p w14:paraId="610D43DC" w14:textId="77777777" w:rsidR="0045702D" w:rsidRPr="00481903" w:rsidRDefault="0045702D" w:rsidP="00481903">
            <w:pPr>
              <w:pStyle w:val="TableText"/>
              <w:spacing w:line="240" w:lineRule="auto"/>
              <w:jc w:val="right"/>
              <w:cnfStyle w:val="000000100000" w:firstRow="0" w:lastRow="0" w:firstColumn="0" w:lastColumn="0" w:oddVBand="0" w:evenVBand="0" w:oddHBand="1" w:evenHBand="0" w:firstRowFirstColumn="0" w:firstRowLastColumn="0" w:lastRowFirstColumn="0" w:lastRowLastColumn="0"/>
              <w:rPr>
                <w:sz w:val="14"/>
                <w:szCs w:val="14"/>
              </w:rPr>
            </w:pPr>
          </w:p>
        </w:tc>
        <w:tc>
          <w:tcPr>
            <w:tcW w:w="1457" w:type="dxa"/>
          </w:tcPr>
          <w:p w14:paraId="54F1496E" w14:textId="77777777" w:rsidR="0045702D" w:rsidRPr="00481903" w:rsidRDefault="0045702D" w:rsidP="00481903">
            <w:pPr>
              <w:pStyle w:val="TableText"/>
              <w:spacing w:line="240" w:lineRule="auto"/>
              <w:jc w:val="right"/>
              <w:cnfStyle w:val="000000100000" w:firstRow="0" w:lastRow="0" w:firstColumn="0" w:lastColumn="0" w:oddVBand="0" w:evenVBand="0" w:oddHBand="1" w:evenHBand="0" w:firstRowFirstColumn="0" w:firstRowLastColumn="0" w:lastRowFirstColumn="0" w:lastRowLastColumn="0"/>
              <w:rPr>
                <w:sz w:val="14"/>
                <w:szCs w:val="14"/>
              </w:rPr>
            </w:pPr>
          </w:p>
        </w:tc>
      </w:tr>
      <w:tr w:rsidR="0045702D" w:rsidRPr="00481903" w14:paraId="00B50DD4" w14:textId="77777777" w:rsidTr="00362BDA">
        <w:tc>
          <w:tcPr>
            <w:cnfStyle w:val="001000000000" w:firstRow="0" w:lastRow="0" w:firstColumn="1" w:lastColumn="0" w:oddVBand="0" w:evenVBand="0" w:oddHBand="0" w:evenHBand="0" w:firstRowFirstColumn="0" w:firstRowLastColumn="0" w:lastRowFirstColumn="0" w:lastRowLastColumn="0"/>
            <w:tcW w:w="1456" w:type="dxa"/>
          </w:tcPr>
          <w:p w14:paraId="79D279B1" w14:textId="6B87545A" w:rsidR="0045702D" w:rsidRPr="00481903" w:rsidRDefault="0045702D" w:rsidP="00481903">
            <w:pPr>
              <w:pStyle w:val="TableText"/>
              <w:spacing w:line="240" w:lineRule="auto"/>
              <w:rPr>
                <w:sz w:val="14"/>
                <w:szCs w:val="14"/>
              </w:rPr>
            </w:pPr>
            <w:r w:rsidRPr="00481903">
              <w:rPr>
                <w:sz w:val="14"/>
                <w:szCs w:val="14"/>
              </w:rPr>
              <w:t xml:space="preserve">14 Feb </w:t>
            </w:r>
            <w:r w:rsidR="00FB1B1C">
              <w:rPr>
                <w:sz w:val="14"/>
                <w:szCs w:val="14"/>
              </w:rPr>
              <w:t>22</w:t>
            </w:r>
          </w:p>
        </w:tc>
        <w:tc>
          <w:tcPr>
            <w:tcW w:w="1457" w:type="dxa"/>
          </w:tcPr>
          <w:p w14:paraId="1A938698" w14:textId="66BC8054" w:rsidR="0045702D" w:rsidRPr="00481903" w:rsidRDefault="0045702D" w:rsidP="00481903">
            <w:pPr>
              <w:pStyle w:val="TableText"/>
              <w:spacing w:line="240" w:lineRule="auto"/>
              <w:jc w:val="right"/>
              <w:cnfStyle w:val="000000000000" w:firstRow="0" w:lastRow="0" w:firstColumn="0" w:lastColumn="0" w:oddVBand="0" w:evenVBand="0" w:oddHBand="0" w:evenHBand="0" w:firstRowFirstColumn="0" w:firstRowLastColumn="0" w:lastRowFirstColumn="0" w:lastRowLastColumn="0"/>
              <w:rPr>
                <w:sz w:val="14"/>
                <w:szCs w:val="14"/>
              </w:rPr>
            </w:pPr>
            <w:r w:rsidRPr="00481903">
              <w:rPr>
                <w:sz w:val="14"/>
                <w:szCs w:val="14"/>
              </w:rPr>
              <w:t>14,586</w:t>
            </w:r>
          </w:p>
        </w:tc>
        <w:tc>
          <w:tcPr>
            <w:tcW w:w="1457" w:type="dxa"/>
          </w:tcPr>
          <w:p w14:paraId="289F4279" w14:textId="77C7310A" w:rsidR="0045702D" w:rsidRPr="00481903" w:rsidRDefault="0045702D" w:rsidP="00481903">
            <w:pPr>
              <w:pStyle w:val="TableText"/>
              <w:spacing w:line="240" w:lineRule="auto"/>
              <w:jc w:val="right"/>
              <w:cnfStyle w:val="000000000000" w:firstRow="0" w:lastRow="0" w:firstColumn="0" w:lastColumn="0" w:oddVBand="0" w:evenVBand="0" w:oddHBand="0" w:evenHBand="0" w:firstRowFirstColumn="0" w:firstRowLastColumn="0" w:lastRowFirstColumn="0" w:lastRowLastColumn="0"/>
              <w:rPr>
                <w:sz w:val="14"/>
                <w:szCs w:val="14"/>
              </w:rPr>
            </w:pPr>
            <w:r w:rsidRPr="00481903">
              <w:rPr>
                <w:sz w:val="14"/>
                <w:szCs w:val="14"/>
              </w:rPr>
              <w:t>80</w:t>
            </w:r>
          </w:p>
        </w:tc>
        <w:tc>
          <w:tcPr>
            <w:tcW w:w="1457" w:type="dxa"/>
          </w:tcPr>
          <w:p w14:paraId="00C5D9DA" w14:textId="77777777" w:rsidR="0045702D" w:rsidRPr="00481903" w:rsidRDefault="0045702D" w:rsidP="00481903">
            <w:pPr>
              <w:pStyle w:val="TableText"/>
              <w:spacing w:line="240" w:lineRule="auto"/>
              <w:jc w:val="right"/>
              <w:cnfStyle w:val="000000000000" w:firstRow="0" w:lastRow="0" w:firstColumn="0" w:lastColumn="0" w:oddVBand="0" w:evenVBand="0" w:oddHBand="0" w:evenHBand="0" w:firstRowFirstColumn="0" w:firstRowLastColumn="0" w:lastRowFirstColumn="0" w:lastRowLastColumn="0"/>
              <w:rPr>
                <w:sz w:val="14"/>
                <w:szCs w:val="14"/>
              </w:rPr>
            </w:pPr>
          </w:p>
        </w:tc>
        <w:tc>
          <w:tcPr>
            <w:tcW w:w="1457" w:type="dxa"/>
          </w:tcPr>
          <w:p w14:paraId="41433505" w14:textId="77777777" w:rsidR="0045702D" w:rsidRPr="00481903" w:rsidRDefault="0045702D" w:rsidP="00481903">
            <w:pPr>
              <w:pStyle w:val="TableText"/>
              <w:spacing w:line="240" w:lineRule="auto"/>
              <w:jc w:val="right"/>
              <w:cnfStyle w:val="000000000000" w:firstRow="0" w:lastRow="0" w:firstColumn="0" w:lastColumn="0" w:oddVBand="0" w:evenVBand="0" w:oddHBand="0" w:evenHBand="0" w:firstRowFirstColumn="0" w:firstRowLastColumn="0" w:lastRowFirstColumn="0" w:lastRowLastColumn="0"/>
              <w:rPr>
                <w:sz w:val="14"/>
                <w:szCs w:val="14"/>
              </w:rPr>
            </w:pPr>
          </w:p>
        </w:tc>
        <w:tc>
          <w:tcPr>
            <w:tcW w:w="1457" w:type="dxa"/>
          </w:tcPr>
          <w:p w14:paraId="4A55DCD4" w14:textId="77777777" w:rsidR="0045702D" w:rsidRPr="00481903" w:rsidRDefault="0045702D" w:rsidP="00481903">
            <w:pPr>
              <w:pStyle w:val="TableText"/>
              <w:spacing w:line="240" w:lineRule="auto"/>
              <w:jc w:val="right"/>
              <w:cnfStyle w:val="000000000000" w:firstRow="0" w:lastRow="0" w:firstColumn="0" w:lastColumn="0" w:oddVBand="0" w:evenVBand="0" w:oddHBand="0" w:evenHBand="0" w:firstRowFirstColumn="0" w:firstRowLastColumn="0" w:lastRowFirstColumn="0" w:lastRowLastColumn="0"/>
              <w:rPr>
                <w:sz w:val="14"/>
                <w:szCs w:val="14"/>
              </w:rPr>
            </w:pPr>
          </w:p>
        </w:tc>
        <w:tc>
          <w:tcPr>
            <w:tcW w:w="1457" w:type="dxa"/>
          </w:tcPr>
          <w:p w14:paraId="5B05986A" w14:textId="77777777" w:rsidR="0045702D" w:rsidRPr="00481903" w:rsidRDefault="0045702D" w:rsidP="00481903">
            <w:pPr>
              <w:pStyle w:val="TableText"/>
              <w:spacing w:line="240" w:lineRule="auto"/>
              <w:jc w:val="right"/>
              <w:cnfStyle w:val="000000000000" w:firstRow="0" w:lastRow="0" w:firstColumn="0" w:lastColumn="0" w:oddVBand="0" w:evenVBand="0" w:oddHBand="0" w:evenHBand="0" w:firstRowFirstColumn="0" w:firstRowLastColumn="0" w:lastRowFirstColumn="0" w:lastRowLastColumn="0"/>
              <w:rPr>
                <w:sz w:val="14"/>
                <w:szCs w:val="14"/>
              </w:rPr>
            </w:pPr>
          </w:p>
        </w:tc>
      </w:tr>
      <w:tr w:rsidR="0045702D" w:rsidRPr="00481903" w14:paraId="2F341B5A" w14:textId="77777777" w:rsidTr="00362B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6" w:type="dxa"/>
          </w:tcPr>
          <w:p w14:paraId="112FCA76" w14:textId="65751C7C" w:rsidR="0045702D" w:rsidRPr="00481903" w:rsidRDefault="0045702D" w:rsidP="00481903">
            <w:pPr>
              <w:pStyle w:val="TableText"/>
              <w:spacing w:line="240" w:lineRule="auto"/>
              <w:rPr>
                <w:sz w:val="14"/>
                <w:szCs w:val="14"/>
              </w:rPr>
            </w:pPr>
            <w:r w:rsidRPr="00481903">
              <w:rPr>
                <w:sz w:val="14"/>
                <w:szCs w:val="14"/>
              </w:rPr>
              <w:t xml:space="preserve">15 Feb </w:t>
            </w:r>
            <w:r w:rsidR="00FB1B1C">
              <w:rPr>
                <w:sz w:val="14"/>
                <w:szCs w:val="14"/>
              </w:rPr>
              <w:t>22</w:t>
            </w:r>
          </w:p>
        </w:tc>
        <w:tc>
          <w:tcPr>
            <w:tcW w:w="1457" w:type="dxa"/>
          </w:tcPr>
          <w:p w14:paraId="7176C324" w14:textId="54462383" w:rsidR="0045702D" w:rsidRPr="00481903" w:rsidRDefault="0045702D" w:rsidP="00481903">
            <w:pPr>
              <w:pStyle w:val="TableText"/>
              <w:spacing w:line="240" w:lineRule="auto"/>
              <w:jc w:val="right"/>
              <w:cnfStyle w:val="000000100000" w:firstRow="0" w:lastRow="0" w:firstColumn="0" w:lastColumn="0" w:oddVBand="0" w:evenVBand="0" w:oddHBand="1" w:evenHBand="0" w:firstRowFirstColumn="0" w:firstRowLastColumn="0" w:lastRowFirstColumn="0" w:lastRowLastColumn="0"/>
              <w:rPr>
                <w:sz w:val="14"/>
                <w:szCs w:val="14"/>
              </w:rPr>
            </w:pPr>
            <w:r w:rsidRPr="00481903">
              <w:rPr>
                <w:sz w:val="14"/>
                <w:szCs w:val="14"/>
              </w:rPr>
              <w:t>15,896</w:t>
            </w:r>
          </w:p>
        </w:tc>
        <w:tc>
          <w:tcPr>
            <w:tcW w:w="1457" w:type="dxa"/>
          </w:tcPr>
          <w:p w14:paraId="742937B5" w14:textId="3C3469A6" w:rsidR="0045702D" w:rsidRPr="00481903" w:rsidRDefault="0045702D" w:rsidP="00481903">
            <w:pPr>
              <w:pStyle w:val="TableText"/>
              <w:spacing w:line="240" w:lineRule="auto"/>
              <w:jc w:val="right"/>
              <w:cnfStyle w:val="000000100000" w:firstRow="0" w:lastRow="0" w:firstColumn="0" w:lastColumn="0" w:oddVBand="0" w:evenVBand="0" w:oddHBand="1" w:evenHBand="0" w:firstRowFirstColumn="0" w:firstRowLastColumn="0" w:lastRowFirstColumn="0" w:lastRowLastColumn="0"/>
              <w:rPr>
                <w:sz w:val="14"/>
                <w:szCs w:val="14"/>
              </w:rPr>
            </w:pPr>
            <w:r w:rsidRPr="00481903">
              <w:rPr>
                <w:sz w:val="14"/>
                <w:szCs w:val="14"/>
              </w:rPr>
              <w:t>80</w:t>
            </w:r>
          </w:p>
        </w:tc>
        <w:tc>
          <w:tcPr>
            <w:tcW w:w="1457" w:type="dxa"/>
          </w:tcPr>
          <w:p w14:paraId="6C4B0FDD" w14:textId="77777777" w:rsidR="0045702D" w:rsidRPr="00481903" w:rsidRDefault="0045702D" w:rsidP="00481903">
            <w:pPr>
              <w:pStyle w:val="TableText"/>
              <w:spacing w:line="240" w:lineRule="auto"/>
              <w:jc w:val="right"/>
              <w:cnfStyle w:val="000000100000" w:firstRow="0" w:lastRow="0" w:firstColumn="0" w:lastColumn="0" w:oddVBand="0" w:evenVBand="0" w:oddHBand="1" w:evenHBand="0" w:firstRowFirstColumn="0" w:firstRowLastColumn="0" w:lastRowFirstColumn="0" w:lastRowLastColumn="0"/>
              <w:rPr>
                <w:sz w:val="14"/>
                <w:szCs w:val="14"/>
              </w:rPr>
            </w:pPr>
          </w:p>
        </w:tc>
        <w:tc>
          <w:tcPr>
            <w:tcW w:w="1457" w:type="dxa"/>
          </w:tcPr>
          <w:p w14:paraId="16AC8DE5" w14:textId="77777777" w:rsidR="0045702D" w:rsidRPr="00481903" w:rsidRDefault="0045702D" w:rsidP="00481903">
            <w:pPr>
              <w:pStyle w:val="TableText"/>
              <w:spacing w:line="240" w:lineRule="auto"/>
              <w:jc w:val="right"/>
              <w:cnfStyle w:val="000000100000" w:firstRow="0" w:lastRow="0" w:firstColumn="0" w:lastColumn="0" w:oddVBand="0" w:evenVBand="0" w:oddHBand="1" w:evenHBand="0" w:firstRowFirstColumn="0" w:firstRowLastColumn="0" w:lastRowFirstColumn="0" w:lastRowLastColumn="0"/>
              <w:rPr>
                <w:sz w:val="14"/>
                <w:szCs w:val="14"/>
              </w:rPr>
            </w:pPr>
          </w:p>
        </w:tc>
        <w:tc>
          <w:tcPr>
            <w:tcW w:w="1457" w:type="dxa"/>
          </w:tcPr>
          <w:p w14:paraId="74CC405D" w14:textId="77777777" w:rsidR="0045702D" w:rsidRPr="00481903" w:rsidRDefault="0045702D" w:rsidP="00481903">
            <w:pPr>
              <w:pStyle w:val="TableText"/>
              <w:spacing w:line="240" w:lineRule="auto"/>
              <w:jc w:val="right"/>
              <w:cnfStyle w:val="000000100000" w:firstRow="0" w:lastRow="0" w:firstColumn="0" w:lastColumn="0" w:oddVBand="0" w:evenVBand="0" w:oddHBand="1" w:evenHBand="0" w:firstRowFirstColumn="0" w:firstRowLastColumn="0" w:lastRowFirstColumn="0" w:lastRowLastColumn="0"/>
              <w:rPr>
                <w:sz w:val="14"/>
                <w:szCs w:val="14"/>
              </w:rPr>
            </w:pPr>
          </w:p>
        </w:tc>
        <w:tc>
          <w:tcPr>
            <w:tcW w:w="1457" w:type="dxa"/>
          </w:tcPr>
          <w:p w14:paraId="5ACE1623" w14:textId="77777777" w:rsidR="0045702D" w:rsidRPr="00481903" w:rsidRDefault="0045702D" w:rsidP="00481903">
            <w:pPr>
              <w:pStyle w:val="TableText"/>
              <w:spacing w:line="240" w:lineRule="auto"/>
              <w:jc w:val="right"/>
              <w:cnfStyle w:val="000000100000" w:firstRow="0" w:lastRow="0" w:firstColumn="0" w:lastColumn="0" w:oddVBand="0" w:evenVBand="0" w:oddHBand="1" w:evenHBand="0" w:firstRowFirstColumn="0" w:firstRowLastColumn="0" w:lastRowFirstColumn="0" w:lastRowLastColumn="0"/>
              <w:rPr>
                <w:sz w:val="14"/>
                <w:szCs w:val="14"/>
              </w:rPr>
            </w:pPr>
          </w:p>
        </w:tc>
      </w:tr>
      <w:tr w:rsidR="0045702D" w:rsidRPr="00481903" w14:paraId="4C8D0E02" w14:textId="77777777" w:rsidTr="00362BDA">
        <w:tc>
          <w:tcPr>
            <w:cnfStyle w:val="001000000000" w:firstRow="0" w:lastRow="0" w:firstColumn="1" w:lastColumn="0" w:oddVBand="0" w:evenVBand="0" w:oddHBand="0" w:evenHBand="0" w:firstRowFirstColumn="0" w:firstRowLastColumn="0" w:lastRowFirstColumn="0" w:lastRowLastColumn="0"/>
            <w:tcW w:w="1456" w:type="dxa"/>
          </w:tcPr>
          <w:p w14:paraId="47072E64" w14:textId="0A282C67" w:rsidR="0045702D" w:rsidRPr="00481903" w:rsidRDefault="0045702D" w:rsidP="00481903">
            <w:pPr>
              <w:pStyle w:val="TableText"/>
              <w:spacing w:line="240" w:lineRule="auto"/>
              <w:rPr>
                <w:sz w:val="14"/>
                <w:szCs w:val="14"/>
              </w:rPr>
            </w:pPr>
            <w:r w:rsidRPr="00481903">
              <w:rPr>
                <w:sz w:val="14"/>
                <w:szCs w:val="14"/>
              </w:rPr>
              <w:t xml:space="preserve">16 Feb </w:t>
            </w:r>
            <w:r w:rsidR="00FB1B1C">
              <w:rPr>
                <w:sz w:val="14"/>
                <w:szCs w:val="14"/>
              </w:rPr>
              <w:t>22</w:t>
            </w:r>
          </w:p>
        </w:tc>
        <w:tc>
          <w:tcPr>
            <w:tcW w:w="1457" w:type="dxa"/>
          </w:tcPr>
          <w:p w14:paraId="798B8B31" w14:textId="4C9278C6" w:rsidR="0045702D" w:rsidRPr="00481903" w:rsidRDefault="0045702D" w:rsidP="00481903">
            <w:pPr>
              <w:pStyle w:val="TableText"/>
              <w:spacing w:line="240" w:lineRule="auto"/>
              <w:jc w:val="right"/>
              <w:cnfStyle w:val="000000000000" w:firstRow="0" w:lastRow="0" w:firstColumn="0" w:lastColumn="0" w:oddVBand="0" w:evenVBand="0" w:oddHBand="0" w:evenHBand="0" w:firstRowFirstColumn="0" w:firstRowLastColumn="0" w:lastRowFirstColumn="0" w:lastRowLastColumn="0"/>
              <w:rPr>
                <w:sz w:val="14"/>
                <w:szCs w:val="14"/>
              </w:rPr>
            </w:pPr>
            <w:r w:rsidRPr="00481903">
              <w:rPr>
                <w:sz w:val="14"/>
                <w:szCs w:val="14"/>
              </w:rPr>
              <w:t>19,852</w:t>
            </w:r>
          </w:p>
        </w:tc>
        <w:tc>
          <w:tcPr>
            <w:tcW w:w="1457" w:type="dxa"/>
          </w:tcPr>
          <w:p w14:paraId="7967C0F9" w14:textId="60253391" w:rsidR="0045702D" w:rsidRPr="00481903" w:rsidRDefault="0045702D" w:rsidP="00481903">
            <w:pPr>
              <w:pStyle w:val="TableText"/>
              <w:spacing w:line="240" w:lineRule="auto"/>
              <w:jc w:val="right"/>
              <w:cnfStyle w:val="000000000000" w:firstRow="0" w:lastRow="0" w:firstColumn="0" w:lastColumn="0" w:oddVBand="0" w:evenVBand="0" w:oddHBand="0" w:evenHBand="0" w:firstRowFirstColumn="0" w:firstRowLastColumn="0" w:lastRowFirstColumn="0" w:lastRowLastColumn="0"/>
              <w:rPr>
                <w:sz w:val="14"/>
                <w:szCs w:val="14"/>
              </w:rPr>
            </w:pPr>
            <w:r w:rsidRPr="00481903">
              <w:rPr>
                <w:sz w:val="14"/>
                <w:szCs w:val="14"/>
              </w:rPr>
              <w:t>80</w:t>
            </w:r>
          </w:p>
        </w:tc>
        <w:tc>
          <w:tcPr>
            <w:tcW w:w="1457" w:type="dxa"/>
          </w:tcPr>
          <w:p w14:paraId="1C62F922" w14:textId="77777777" w:rsidR="0045702D" w:rsidRPr="00481903" w:rsidRDefault="0045702D" w:rsidP="00481903">
            <w:pPr>
              <w:pStyle w:val="TableText"/>
              <w:spacing w:line="240" w:lineRule="auto"/>
              <w:jc w:val="right"/>
              <w:cnfStyle w:val="000000000000" w:firstRow="0" w:lastRow="0" w:firstColumn="0" w:lastColumn="0" w:oddVBand="0" w:evenVBand="0" w:oddHBand="0" w:evenHBand="0" w:firstRowFirstColumn="0" w:firstRowLastColumn="0" w:lastRowFirstColumn="0" w:lastRowLastColumn="0"/>
              <w:rPr>
                <w:sz w:val="14"/>
                <w:szCs w:val="14"/>
              </w:rPr>
            </w:pPr>
          </w:p>
        </w:tc>
        <w:tc>
          <w:tcPr>
            <w:tcW w:w="1457" w:type="dxa"/>
          </w:tcPr>
          <w:p w14:paraId="1BFC5DC1" w14:textId="77777777" w:rsidR="0045702D" w:rsidRPr="00481903" w:rsidRDefault="0045702D" w:rsidP="00481903">
            <w:pPr>
              <w:pStyle w:val="TableText"/>
              <w:spacing w:line="240" w:lineRule="auto"/>
              <w:jc w:val="right"/>
              <w:cnfStyle w:val="000000000000" w:firstRow="0" w:lastRow="0" w:firstColumn="0" w:lastColumn="0" w:oddVBand="0" w:evenVBand="0" w:oddHBand="0" w:evenHBand="0" w:firstRowFirstColumn="0" w:firstRowLastColumn="0" w:lastRowFirstColumn="0" w:lastRowLastColumn="0"/>
              <w:rPr>
                <w:sz w:val="14"/>
                <w:szCs w:val="14"/>
              </w:rPr>
            </w:pPr>
          </w:p>
        </w:tc>
        <w:tc>
          <w:tcPr>
            <w:tcW w:w="1457" w:type="dxa"/>
          </w:tcPr>
          <w:p w14:paraId="3BA564C5" w14:textId="77777777" w:rsidR="0045702D" w:rsidRPr="00481903" w:rsidRDefault="0045702D" w:rsidP="00481903">
            <w:pPr>
              <w:pStyle w:val="TableText"/>
              <w:spacing w:line="240" w:lineRule="auto"/>
              <w:jc w:val="right"/>
              <w:cnfStyle w:val="000000000000" w:firstRow="0" w:lastRow="0" w:firstColumn="0" w:lastColumn="0" w:oddVBand="0" w:evenVBand="0" w:oddHBand="0" w:evenHBand="0" w:firstRowFirstColumn="0" w:firstRowLastColumn="0" w:lastRowFirstColumn="0" w:lastRowLastColumn="0"/>
              <w:rPr>
                <w:sz w:val="14"/>
                <w:szCs w:val="14"/>
              </w:rPr>
            </w:pPr>
          </w:p>
        </w:tc>
        <w:tc>
          <w:tcPr>
            <w:tcW w:w="1457" w:type="dxa"/>
          </w:tcPr>
          <w:p w14:paraId="5317A11F" w14:textId="77777777" w:rsidR="0045702D" w:rsidRPr="00481903" w:rsidRDefault="0045702D" w:rsidP="00481903">
            <w:pPr>
              <w:pStyle w:val="TableText"/>
              <w:spacing w:line="240" w:lineRule="auto"/>
              <w:jc w:val="right"/>
              <w:cnfStyle w:val="000000000000" w:firstRow="0" w:lastRow="0" w:firstColumn="0" w:lastColumn="0" w:oddVBand="0" w:evenVBand="0" w:oddHBand="0" w:evenHBand="0" w:firstRowFirstColumn="0" w:firstRowLastColumn="0" w:lastRowFirstColumn="0" w:lastRowLastColumn="0"/>
              <w:rPr>
                <w:sz w:val="14"/>
                <w:szCs w:val="14"/>
              </w:rPr>
            </w:pPr>
          </w:p>
        </w:tc>
      </w:tr>
      <w:tr w:rsidR="0045702D" w:rsidRPr="00481903" w14:paraId="6E5A8117" w14:textId="77777777" w:rsidTr="00362B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6" w:type="dxa"/>
          </w:tcPr>
          <w:p w14:paraId="12AE4C99" w14:textId="56F05755" w:rsidR="0045702D" w:rsidRPr="00481903" w:rsidRDefault="0045702D" w:rsidP="00481903">
            <w:pPr>
              <w:pStyle w:val="TableText"/>
              <w:spacing w:line="240" w:lineRule="auto"/>
              <w:rPr>
                <w:sz w:val="14"/>
                <w:szCs w:val="14"/>
              </w:rPr>
            </w:pPr>
            <w:r w:rsidRPr="00481903">
              <w:rPr>
                <w:sz w:val="14"/>
                <w:szCs w:val="14"/>
              </w:rPr>
              <w:t xml:space="preserve">17 Feb </w:t>
            </w:r>
            <w:r w:rsidR="00FB1B1C">
              <w:rPr>
                <w:sz w:val="14"/>
                <w:szCs w:val="14"/>
              </w:rPr>
              <w:t>22</w:t>
            </w:r>
          </w:p>
        </w:tc>
        <w:tc>
          <w:tcPr>
            <w:tcW w:w="1457" w:type="dxa"/>
          </w:tcPr>
          <w:p w14:paraId="43BD45F9" w14:textId="78FDBBA8" w:rsidR="0045702D" w:rsidRPr="00481903" w:rsidRDefault="0045702D" w:rsidP="00481903">
            <w:pPr>
              <w:pStyle w:val="TableText"/>
              <w:spacing w:line="240" w:lineRule="auto"/>
              <w:jc w:val="right"/>
              <w:cnfStyle w:val="000000100000" w:firstRow="0" w:lastRow="0" w:firstColumn="0" w:lastColumn="0" w:oddVBand="0" w:evenVBand="0" w:oddHBand="1" w:evenHBand="0" w:firstRowFirstColumn="0" w:firstRowLastColumn="0" w:lastRowFirstColumn="0" w:lastRowLastColumn="0"/>
              <w:rPr>
                <w:sz w:val="14"/>
                <w:szCs w:val="14"/>
              </w:rPr>
            </w:pPr>
            <w:r w:rsidRPr="00481903">
              <w:rPr>
                <w:sz w:val="14"/>
                <w:szCs w:val="14"/>
              </w:rPr>
              <w:t>17,852</w:t>
            </w:r>
          </w:p>
        </w:tc>
        <w:tc>
          <w:tcPr>
            <w:tcW w:w="1457" w:type="dxa"/>
          </w:tcPr>
          <w:p w14:paraId="4F324ABB" w14:textId="1CC8E2FE" w:rsidR="0045702D" w:rsidRPr="00481903" w:rsidRDefault="0045702D" w:rsidP="00481903">
            <w:pPr>
              <w:pStyle w:val="TableText"/>
              <w:spacing w:line="240" w:lineRule="auto"/>
              <w:jc w:val="right"/>
              <w:cnfStyle w:val="000000100000" w:firstRow="0" w:lastRow="0" w:firstColumn="0" w:lastColumn="0" w:oddVBand="0" w:evenVBand="0" w:oddHBand="1" w:evenHBand="0" w:firstRowFirstColumn="0" w:firstRowLastColumn="0" w:lastRowFirstColumn="0" w:lastRowLastColumn="0"/>
              <w:rPr>
                <w:sz w:val="14"/>
                <w:szCs w:val="14"/>
              </w:rPr>
            </w:pPr>
            <w:r w:rsidRPr="00481903">
              <w:rPr>
                <w:sz w:val="14"/>
                <w:szCs w:val="14"/>
              </w:rPr>
              <w:t>80</w:t>
            </w:r>
          </w:p>
        </w:tc>
        <w:tc>
          <w:tcPr>
            <w:tcW w:w="1457" w:type="dxa"/>
          </w:tcPr>
          <w:p w14:paraId="5769C9A4" w14:textId="77777777" w:rsidR="0045702D" w:rsidRPr="00481903" w:rsidRDefault="0045702D" w:rsidP="00481903">
            <w:pPr>
              <w:pStyle w:val="TableText"/>
              <w:spacing w:line="240" w:lineRule="auto"/>
              <w:jc w:val="right"/>
              <w:cnfStyle w:val="000000100000" w:firstRow="0" w:lastRow="0" w:firstColumn="0" w:lastColumn="0" w:oddVBand="0" w:evenVBand="0" w:oddHBand="1" w:evenHBand="0" w:firstRowFirstColumn="0" w:firstRowLastColumn="0" w:lastRowFirstColumn="0" w:lastRowLastColumn="0"/>
              <w:rPr>
                <w:sz w:val="14"/>
                <w:szCs w:val="14"/>
              </w:rPr>
            </w:pPr>
          </w:p>
        </w:tc>
        <w:tc>
          <w:tcPr>
            <w:tcW w:w="1457" w:type="dxa"/>
          </w:tcPr>
          <w:p w14:paraId="10696D07" w14:textId="77777777" w:rsidR="0045702D" w:rsidRPr="00481903" w:rsidRDefault="0045702D" w:rsidP="00481903">
            <w:pPr>
              <w:pStyle w:val="TableText"/>
              <w:spacing w:line="240" w:lineRule="auto"/>
              <w:jc w:val="right"/>
              <w:cnfStyle w:val="000000100000" w:firstRow="0" w:lastRow="0" w:firstColumn="0" w:lastColumn="0" w:oddVBand="0" w:evenVBand="0" w:oddHBand="1" w:evenHBand="0" w:firstRowFirstColumn="0" w:firstRowLastColumn="0" w:lastRowFirstColumn="0" w:lastRowLastColumn="0"/>
              <w:rPr>
                <w:sz w:val="14"/>
                <w:szCs w:val="14"/>
              </w:rPr>
            </w:pPr>
          </w:p>
        </w:tc>
        <w:tc>
          <w:tcPr>
            <w:tcW w:w="1457" w:type="dxa"/>
          </w:tcPr>
          <w:p w14:paraId="37884DDB" w14:textId="77777777" w:rsidR="0045702D" w:rsidRPr="00481903" w:rsidRDefault="0045702D" w:rsidP="00481903">
            <w:pPr>
              <w:pStyle w:val="TableText"/>
              <w:spacing w:line="240" w:lineRule="auto"/>
              <w:jc w:val="right"/>
              <w:cnfStyle w:val="000000100000" w:firstRow="0" w:lastRow="0" w:firstColumn="0" w:lastColumn="0" w:oddVBand="0" w:evenVBand="0" w:oddHBand="1" w:evenHBand="0" w:firstRowFirstColumn="0" w:firstRowLastColumn="0" w:lastRowFirstColumn="0" w:lastRowLastColumn="0"/>
              <w:rPr>
                <w:sz w:val="14"/>
                <w:szCs w:val="14"/>
              </w:rPr>
            </w:pPr>
          </w:p>
        </w:tc>
        <w:tc>
          <w:tcPr>
            <w:tcW w:w="1457" w:type="dxa"/>
          </w:tcPr>
          <w:p w14:paraId="031F99C3" w14:textId="77777777" w:rsidR="0045702D" w:rsidRPr="00481903" w:rsidRDefault="0045702D" w:rsidP="00481903">
            <w:pPr>
              <w:pStyle w:val="TableText"/>
              <w:spacing w:line="240" w:lineRule="auto"/>
              <w:jc w:val="right"/>
              <w:cnfStyle w:val="000000100000" w:firstRow="0" w:lastRow="0" w:firstColumn="0" w:lastColumn="0" w:oddVBand="0" w:evenVBand="0" w:oddHBand="1" w:evenHBand="0" w:firstRowFirstColumn="0" w:firstRowLastColumn="0" w:lastRowFirstColumn="0" w:lastRowLastColumn="0"/>
              <w:rPr>
                <w:sz w:val="14"/>
                <w:szCs w:val="14"/>
              </w:rPr>
            </w:pPr>
          </w:p>
        </w:tc>
      </w:tr>
      <w:tr w:rsidR="0045702D" w:rsidRPr="00481903" w14:paraId="119E5F4F" w14:textId="77777777" w:rsidTr="00362BDA">
        <w:tc>
          <w:tcPr>
            <w:cnfStyle w:val="001000000000" w:firstRow="0" w:lastRow="0" w:firstColumn="1" w:lastColumn="0" w:oddVBand="0" w:evenVBand="0" w:oddHBand="0" w:evenHBand="0" w:firstRowFirstColumn="0" w:firstRowLastColumn="0" w:lastRowFirstColumn="0" w:lastRowLastColumn="0"/>
            <w:tcW w:w="1456" w:type="dxa"/>
          </w:tcPr>
          <w:p w14:paraId="141AD448" w14:textId="131F33E6" w:rsidR="0045702D" w:rsidRPr="00481903" w:rsidRDefault="0045702D" w:rsidP="00481903">
            <w:pPr>
              <w:pStyle w:val="TableText"/>
              <w:spacing w:line="240" w:lineRule="auto"/>
              <w:rPr>
                <w:sz w:val="14"/>
                <w:szCs w:val="14"/>
              </w:rPr>
            </w:pPr>
            <w:r w:rsidRPr="00481903">
              <w:rPr>
                <w:sz w:val="14"/>
                <w:szCs w:val="14"/>
              </w:rPr>
              <w:t xml:space="preserve">18 Feb </w:t>
            </w:r>
            <w:r w:rsidR="00FB1B1C">
              <w:rPr>
                <w:sz w:val="14"/>
                <w:szCs w:val="14"/>
              </w:rPr>
              <w:t>22</w:t>
            </w:r>
          </w:p>
        </w:tc>
        <w:tc>
          <w:tcPr>
            <w:tcW w:w="1457" w:type="dxa"/>
          </w:tcPr>
          <w:p w14:paraId="644E83CE" w14:textId="6AA05313" w:rsidR="0045702D" w:rsidRPr="00481903" w:rsidRDefault="0045702D" w:rsidP="00481903">
            <w:pPr>
              <w:pStyle w:val="TableText"/>
              <w:spacing w:line="240" w:lineRule="auto"/>
              <w:jc w:val="right"/>
              <w:cnfStyle w:val="000000000000" w:firstRow="0" w:lastRow="0" w:firstColumn="0" w:lastColumn="0" w:oddVBand="0" w:evenVBand="0" w:oddHBand="0" w:evenHBand="0" w:firstRowFirstColumn="0" w:firstRowLastColumn="0" w:lastRowFirstColumn="0" w:lastRowLastColumn="0"/>
              <w:rPr>
                <w:sz w:val="14"/>
                <w:szCs w:val="14"/>
              </w:rPr>
            </w:pPr>
            <w:r w:rsidRPr="00481903">
              <w:rPr>
                <w:sz w:val="14"/>
                <w:szCs w:val="14"/>
              </w:rPr>
              <w:t>20,147</w:t>
            </w:r>
          </w:p>
        </w:tc>
        <w:tc>
          <w:tcPr>
            <w:tcW w:w="1457" w:type="dxa"/>
          </w:tcPr>
          <w:p w14:paraId="332351C6" w14:textId="0D5324DE" w:rsidR="0045702D" w:rsidRPr="00481903" w:rsidRDefault="0045702D" w:rsidP="00481903">
            <w:pPr>
              <w:pStyle w:val="TableText"/>
              <w:spacing w:line="240" w:lineRule="auto"/>
              <w:jc w:val="right"/>
              <w:cnfStyle w:val="000000000000" w:firstRow="0" w:lastRow="0" w:firstColumn="0" w:lastColumn="0" w:oddVBand="0" w:evenVBand="0" w:oddHBand="0" w:evenHBand="0" w:firstRowFirstColumn="0" w:firstRowLastColumn="0" w:lastRowFirstColumn="0" w:lastRowLastColumn="0"/>
              <w:rPr>
                <w:sz w:val="14"/>
                <w:szCs w:val="14"/>
              </w:rPr>
            </w:pPr>
            <w:r w:rsidRPr="00481903">
              <w:rPr>
                <w:sz w:val="14"/>
                <w:szCs w:val="14"/>
              </w:rPr>
              <w:t>80</w:t>
            </w:r>
          </w:p>
        </w:tc>
        <w:tc>
          <w:tcPr>
            <w:tcW w:w="1457" w:type="dxa"/>
          </w:tcPr>
          <w:p w14:paraId="6D04EDE5" w14:textId="77777777" w:rsidR="0045702D" w:rsidRPr="00481903" w:rsidRDefault="0045702D" w:rsidP="00481903">
            <w:pPr>
              <w:pStyle w:val="TableText"/>
              <w:spacing w:line="240" w:lineRule="auto"/>
              <w:jc w:val="right"/>
              <w:cnfStyle w:val="000000000000" w:firstRow="0" w:lastRow="0" w:firstColumn="0" w:lastColumn="0" w:oddVBand="0" w:evenVBand="0" w:oddHBand="0" w:evenHBand="0" w:firstRowFirstColumn="0" w:firstRowLastColumn="0" w:lastRowFirstColumn="0" w:lastRowLastColumn="0"/>
              <w:rPr>
                <w:sz w:val="14"/>
                <w:szCs w:val="14"/>
              </w:rPr>
            </w:pPr>
          </w:p>
        </w:tc>
        <w:tc>
          <w:tcPr>
            <w:tcW w:w="1457" w:type="dxa"/>
          </w:tcPr>
          <w:p w14:paraId="712769A4" w14:textId="77777777" w:rsidR="0045702D" w:rsidRPr="00481903" w:rsidRDefault="0045702D" w:rsidP="00481903">
            <w:pPr>
              <w:pStyle w:val="TableText"/>
              <w:spacing w:line="240" w:lineRule="auto"/>
              <w:jc w:val="right"/>
              <w:cnfStyle w:val="000000000000" w:firstRow="0" w:lastRow="0" w:firstColumn="0" w:lastColumn="0" w:oddVBand="0" w:evenVBand="0" w:oddHBand="0" w:evenHBand="0" w:firstRowFirstColumn="0" w:firstRowLastColumn="0" w:lastRowFirstColumn="0" w:lastRowLastColumn="0"/>
              <w:rPr>
                <w:sz w:val="14"/>
                <w:szCs w:val="14"/>
              </w:rPr>
            </w:pPr>
          </w:p>
        </w:tc>
        <w:tc>
          <w:tcPr>
            <w:tcW w:w="1457" w:type="dxa"/>
          </w:tcPr>
          <w:p w14:paraId="100CB7BC" w14:textId="77777777" w:rsidR="0045702D" w:rsidRPr="00481903" w:rsidRDefault="0045702D" w:rsidP="00481903">
            <w:pPr>
              <w:pStyle w:val="TableText"/>
              <w:spacing w:line="240" w:lineRule="auto"/>
              <w:jc w:val="right"/>
              <w:cnfStyle w:val="000000000000" w:firstRow="0" w:lastRow="0" w:firstColumn="0" w:lastColumn="0" w:oddVBand="0" w:evenVBand="0" w:oddHBand="0" w:evenHBand="0" w:firstRowFirstColumn="0" w:firstRowLastColumn="0" w:lastRowFirstColumn="0" w:lastRowLastColumn="0"/>
              <w:rPr>
                <w:sz w:val="14"/>
                <w:szCs w:val="14"/>
              </w:rPr>
            </w:pPr>
          </w:p>
        </w:tc>
        <w:tc>
          <w:tcPr>
            <w:tcW w:w="1457" w:type="dxa"/>
          </w:tcPr>
          <w:p w14:paraId="52F16436" w14:textId="77777777" w:rsidR="0045702D" w:rsidRPr="00481903" w:rsidRDefault="0045702D" w:rsidP="00481903">
            <w:pPr>
              <w:pStyle w:val="TableText"/>
              <w:spacing w:line="240" w:lineRule="auto"/>
              <w:jc w:val="right"/>
              <w:cnfStyle w:val="000000000000" w:firstRow="0" w:lastRow="0" w:firstColumn="0" w:lastColumn="0" w:oddVBand="0" w:evenVBand="0" w:oddHBand="0" w:evenHBand="0" w:firstRowFirstColumn="0" w:firstRowLastColumn="0" w:lastRowFirstColumn="0" w:lastRowLastColumn="0"/>
              <w:rPr>
                <w:sz w:val="14"/>
                <w:szCs w:val="14"/>
              </w:rPr>
            </w:pPr>
          </w:p>
        </w:tc>
      </w:tr>
      <w:tr w:rsidR="0045702D" w:rsidRPr="00481903" w14:paraId="4947EAA0" w14:textId="77777777" w:rsidTr="00362B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6" w:type="dxa"/>
          </w:tcPr>
          <w:p w14:paraId="47F86912" w14:textId="2C24C8CA" w:rsidR="0045702D" w:rsidRPr="00481903" w:rsidRDefault="0045702D" w:rsidP="00481903">
            <w:pPr>
              <w:pStyle w:val="TableText"/>
              <w:spacing w:line="240" w:lineRule="auto"/>
              <w:rPr>
                <w:sz w:val="14"/>
                <w:szCs w:val="14"/>
              </w:rPr>
            </w:pPr>
            <w:r w:rsidRPr="00481903">
              <w:rPr>
                <w:sz w:val="14"/>
                <w:szCs w:val="14"/>
              </w:rPr>
              <w:t xml:space="preserve">19 Feb </w:t>
            </w:r>
            <w:r w:rsidR="00FB1B1C">
              <w:rPr>
                <w:sz w:val="14"/>
                <w:szCs w:val="14"/>
              </w:rPr>
              <w:t>22</w:t>
            </w:r>
          </w:p>
        </w:tc>
        <w:tc>
          <w:tcPr>
            <w:tcW w:w="1457" w:type="dxa"/>
          </w:tcPr>
          <w:p w14:paraId="1FE3A970" w14:textId="78EFF1A3" w:rsidR="0045702D" w:rsidRPr="00481903" w:rsidRDefault="0045702D" w:rsidP="00481903">
            <w:pPr>
              <w:pStyle w:val="TableText"/>
              <w:spacing w:line="240" w:lineRule="auto"/>
              <w:jc w:val="right"/>
              <w:cnfStyle w:val="000000100000" w:firstRow="0" w:lastRow="0" w:firstColumn="0" w:lastColumn="0" w:oddVBand="0" w:evenVBand="0" w:oddHBand="1" w:evenHBand="0" w:firstRowFirstColumn="0" w:firstRowLastColumn="0" w:lastRowFirstColumn="0" w:lastRowLastColumn="0"/>
              <w:rPr>
                <w:sz w:val="14"/>
                <w:szCs w:val="14"/>
              </w:rPr>
            </w:pPr>
            <w:r w:rsidRPr="00481903">
              <w:rPr>
                <w:sz w:val="14"/>
                <w:szCs w:val="14"/>
              </w:rPr>
              <w:t>19,587</w:t>
            </w:r>
          </w:p>
        </w:tc>
        <w:tc>
          <w:tcPr>
            <w:tcW w:w="1457" w:type="dxa"/>
          </w:tcPr>
          <w:p w14:paraId="7BE7F59E" w14:textId="49BA0561" w:rsidR="0045702D" w:rsidRPr="00481903" w:rsidRDefault="0045702D" w:rsidP="00481903">
            <w:pPr>
              <w:pStyle w:val="TableText"/>
              <w:spacing w:line="240" w:lineRule="auto"/>
              <w:jc w:val="right"/>
              <w:cnfStyle w:val="000000100000" w:firstRow="0" w:lastRow="0" w:firstColumn="0" w:lastColumn="0" w:oddVBand="0" w:evenVBand="0" w:oddHBand="1" w:evenHBand="0" w:firstRowFirstColumn="0" w:firstRowLastColumn="0" w:lastRowFirstColumn="0" w:lastRowLastColumn="0"/>
              <w:rPr>
                <w:sz w:val="14"/>
                <w:szCs w:val="14"/>
              </w:rPr>
            </w:pPr>
            <w:r w:rsidRPr="00481903">
              <w:rPr>
                <w:sz w:val="14"/>
                <w:szCs w:val="14"/>
              </w:rPr>
              <w:t>80</w:t>
            </w:r>
          </w:p>
        </w:tc>
        <w:tc>
          <w:tcPr>
            <w:tcW w:w="1457" w:type="dxa"/>
          </w:tcPr>
          <w:p w14:paraId="0CC696A1" w14:textId="069FC9F1" w:rsidR="0045702D" w:rsidRPr="00481903" w:rsidRDefault="0045702D" w:rsidP="00481903">
            <w:pPr>
              <w:pStyle w:val="TableText"/>
              <w:spacing w:line="240" w:lineRule="auto"/>
              <w:jc w:val="right"/>
              <w:cnfStyle w:val="000000100000" w:firstRow="0" w:lastRow="0" w:firstColumn="0" w:lastColumn="0" w:oddVBand="0" w:evenVBand="0" w:oddHBand="1" w:evenHBand="0" w:firstRowFirstColumn="0" w:firstRowLastColumn="0" w:lastRowFirstColumn="0" w:lastRowLastColumn="0"/>
              <w:rPr>
                <w:sz w:val="14"/>
                <w:szCs w:val="14"/>
              </w:rPr>
            </w:pPr>
          </w:p>
        </w:tc>
        <w:tc>
          <w:tcPr>
            <w:tcW w:w="1457" w:type="dxa"/>
          </w:tcPr>
          <w:p w14:paraId="398D4514" w14:textId="77777777" w:rsidR="0045702D" w:rsidRPr="00481903" w:rsidRDefault="0045702D" w:rsidP="00481903">
            <w:pPr>
              <w:pStyle w:val="TableText"/>
              <w:spacing w:line="240" w:lineRule="auto"/>
              <w:jc w:val="right"/>
              <w:cnfStyle w:val="000000100000" w:firstRow="0" w:lastRow="0" w:firstColumn="0" w:lastColumn="0" w:oddVBand="0" w:evenVBand="0" w:oddHBand="1" w:evenHBand="0" w:firstRowFirstColumn="0" w:firstRowLastColumn="0" w:lastRowFirstColumn="0" w:lastRowLastColumn="0"/>
              <w:rPr>
                <w:sz w:val="14"/>
                <w:szCs w:val="14"/>
              </w:rPr>
            </w:pPr>
          </w:p>
        </w:tc>
        <w:tc>
          <w:tcPr>
            <w:tcW w:w="1457" w:type="dxa"/>
          </w:tcPr>
          <w:p w14:paraId="7B9FD8A5" w14:textId="77777777" w:rsidR="0045702D" w:rsidRPr="00481903" w:rsidRDefault="0045702D" w:rsidP="00481903">
            <w:pPr>
              <w:pStyle w:val="TableText"/>
              <w:spacing w:line="240" w:lineRule="auto"/>
              <w:jc w:val="right"/>
              <w:cnfStyle w:val="000000100000" w:firstRow="0" w:lastRow="0" w:firstColumn="0" w:lastColumn="0" w:oddVBand="0" w:evenVBand="0" w:oddHBand="1" w:evenHBand="0" w:firstRowFirstColumn="0" w:firstRowLastColumn="0" w:lastRowFirstColumn="0" w:lastRowLastColumn="0"/>
              <w:rPr>
                <w:sz w:val="14"/>
                <w:szCs w:val="14"/>
              </w:rPr>
            </w:pPr>
          </w:p>
        </w:tc>
        <w:tc>
          <w:tcPr>
            <w:tcW w:w="1457" w:type="dxa"/>
          </w:tcPr>
          <w:p w14:paraId="3E471D9D" w14:textId="77777777" w:rsidR="0045702D" w:rsidRPr="00481903" w:rsidRDefault="0045702D" w:rsidP="00481903">
            <w:pPr>
              <w:pStyle w:val="TableText"/>
              <w:spacing w:line="240" w:lineRule="auto"/>
              <w:jc w:val="right"/>
              <w:cnfStyle w:val="000000100000" w:firstRow="0" w:lastRow="0" w:firstColumn="0" w:lastColumn="0" w:oddVBand="0" w:evenVBand="0" w:oddHBand="1" w:evenHBand="0" w:firstRowFirstColumn="0" w:firstRowLastColumn="0" w:lastRowFirstColumn="0" w:lastRowLastColumn="0"/>
              <w:rPr>
                <w:sz w:val="14"/>
                <w:szCs w:val="14"/>
              </w:rPr>
            </w:pPr>
          </w:p>
        </w:tc>
      </w:tr>
      <w:tr w:rsidR="0045702D" w:rsidRPr="00481903" w14:paraId="63705C8A" w14:textId="77777777" w:rsidTr="00362BDA">
        <w:tc>
          <w:tcPr>
            <w:cnfStyle w:val="001000000000" w:firstRow="0" w:lastRow="0" w:firstColumn="1" w:lastColumn="0" w:oddVBand="0" w:evenVBand="0" w:oddHBand="0" w:evenHBand="0" w:firstRowFirstColumn="0" w:firstRowLastColumn="0" w:lastRowFirstColumn="0" w:lastRowLastColumn="0"/>
            <w:tcW w:w="1456" w:type="dxa"/>
          </w:tcPr>
          <w:p w14:paraId="549CA7D8" w14:textId="2529EB23" w:rsidR="0045702D" w:rsidRPr="00481903" w:rsidRDefault="0045702D" w:rsidP="00481903">
            <w:pPr>
              <w:pStyle w:val="TableText"/>
              <w:spacing w:line="240" w:lineRule="auto"/>
              <w:rPr>
                <w:sz w:val="14"/>
                <w:szCs w:val="14"/>
              </w:rPr>
            </w:pPr>
            <w:r w:rsidRPr="00481903">
              <w:rPr>
                <w:sz w:val="14"/>
                <w:szCs w:val="14"/>
              </w:rPr>
              <w:t xml:space="preserve">20 Feb </w:t>
            </w:r>
            <w:r w:rsidR="00FB1B1C">
              <w:rPr>
                <w:sz w:val="14"/>
                <w:szCs w:val="14"/>
              </w:rPr>
              <w:t>22</w:t>
            </w:r>
          </w:p>
        </w:tc>
        <w:tc>
          <w:tcPr>
            <w:tcW w:w="1457" w:type="dxa"/>
          </w:tcPr>
          <w:p w14:paraId="18DFFB5D" w14:textId="57F4D27F" w:rsidR="0045702D" w:rsidRPr="00481903" w:rsidRDefault="0045702D" w:rsidP="00481903">
            <w:pPr>
              <w:pStyle w:val="TableText"/>
              <w:spacing w:line="240" w:lineRule="auto"/>
              <w:jc w:val="right"/>
              <w:cnfStyle w:val="000000000000" w:firstRow="0" w:lastRow="0" w:firstColumn="0" w:lastColumn="0" w:oddVBand="0" w:evenVBand="0" w:oddHBand="0" w:evenHBand="0" w:firstRowFirstColumn="0" w:firstRowLastColumn="0" w:lastRowFirstColumn="0" w:lastRowLastColumn="0"/>
              <w:rPr>
                <w:sz w:val="14"/>
                <w:szCs w:val="14"/>
              </w:rPr>
            </w:pPr>
            <w:r w:rsidRPr="00481903">
              <w:rPr>
                <w:sz w:val="14"/>
                <w:szCs w:val="14"/>
              </w:rPr>
              <w:t>14,578</w:t>
            </w:r>
          </w:p>
        </w:tc>
        <w:tc>
          <w:tcPr>
            <w:tcW w:w="1457" w:type="dxa"/>
          </w:tcPr>
          <w:p w14:paraId="63BAD5DB" w14:textId="3B12E3AA" w:rsidR="0045702D" w:rsidRPr="00481903" w:rsidRDefault="0045702D" w:rsidP="00481903">
            <w:pPr>
              <w:pStyle w:val="TableText"/>
              <w:spacing w:line="240" w:lineRule="auto"/>
              <w:jc w:val="right"/>
              <w:cnfStyle w:val="000000000000" w:firstRow="0" w:lastRow="0" w:firstColumn="0" w:lastColumn="0" w:oddVBand="0" w:evenVBand="0" w:oddHBand="0" w:evenHBand="0" w:firstRowFirstColumn="0" w:firstRowLastColumn="0" w:lastRowFirstColumn="0" w:lastRowLastColumn="0"/>
              <w:rPr>
                <w:sz w:val="14"/>
                <w:szCs w:val="14"/>
              </w:rPr>
            </w:pPr>
            <w:r w:rsidRPr="00481903">
              <w:rPr>
                <w:sz w:val="14"/>
                <w:szCs w:val="14"/>
              </w:rPr>
              <w:t>80</w:t>
            </w:r>
          </w:p>
        </w:tc>
        <w:tc>
          <w:tcPr>
            <w:tcW w:w="1457" w:type="dxa"/>
          </w:tcPr>
          <w:p w14:paraId="11AB1FCF" w14:textId="77777777" w:rsidR="0045702D" w:rsidRPr="00481903" w:rsidRDefault="0045702D" w:rsidP="00481903">
            <w:pPr>
              <w:pStyle w:val="TableText"/>
              <w:spacing w:line="240" w:lineRule="auto"/>
              <w:jc w:val="right"/>
              <w:cnfStyle w:val="000000000000" w:firstRow="0" w:lastRow="0" w:firstColumn="0" w:lastColumn="0" w:oddVBand="0" w:evenVBand="0" w:oddHBand="0" w:evenHBand="0" w:firstRowFirstColumn="0" w:firstRowLastColumn="0" w:lastRowFirstColumn="0" w:lastRowLastColumn="0"/>
              <w:rPr>
                <w:sz w:val="14"/>
                <w:szCs w:val="14"/>
              </w:rPr>
            </w:pPr>
          </w:p>
        </w:tc>
        <w:tc>
          <w:tcPr>
            <w:tcW w:w="1457" w:type="dxa"/>
          </w:tcPr>
          <w:p w14:paraId="6CEFF53B" w14:textId="77777777" w:rsidR="0045702D" w:rsidRPr="00481903" w:rsidRDefault="0045702D" w:rsidP="00481903">
            <w:pPr>
              <w:pStyle w:val="TableText"/>
              <w:spacing w:line="240" w:lineRule="auto"/>
              <w:jc w:val="right"/>
              <w:cnfStyle w:val="000000000000" w:firstRow="0" w:lastRow="0" w:firstColumn="0" w:lastColumn="0" w:oddVBand="0" w:evenVBand="0" w:oddHBand="0" w:evenHBand="0" w:firstRowFirstColumn="0" w:firstRowLastColumn="0" w:lastRowFirstColumn="0" w:lastRowLastColumn="0"/>
              <w:rPr>
                <w:sz w:val="14"/>
                <w:szCs w:val="14"/>
              </w:rPr>
            </w:pPr>
          </w:p>
        </w:tc>
        <w:tc>
          <w:tcPr>
            <w:tcW w:w="1457" w:type="dxa"/>
          </w:tcPr>
          <w:p w14:paraId="4C9FB8A4" w14:textId="77777777" w:rsidR="0045702D" w:rsidRPr="00481903" w:rsidRDefault="0045702D" w:rsidP="00481903">
            <w:pPr>
              <w:pStyle w:val="TableText"/>
              <w:spacing w:line="240" w:lineRule="auto"/>
              <w:jc w:val="right"/>
              <w:cnfStyle w:val="000000000000" w:firstRow="0" w:lastRow="0" w:firstColumn="0" w:lastColumn="0" w:oddVBand="0" w:evenVBand="0" w:oddHBand="0" w:evenHBand="0" w:firstRowFirstColumn="0" w:firstRowLastColumn="0" w:lastRowFirstColumn="0" w:lastRowLastColumn="0"/>
              <w:rPr>
                <w:sz w:val="14"/>
                <w:szCs w:val="14"/>
              </w:rPr>
            </w:pPr>
          </w:p>
        </w:tc>
        <w:tc>
          <w:tcPr>
            <w:tcW w:w="1457" w:type="dxa"/>
          </w:tcPr>
          <w:p w14:paraId="267B4E1C" w14:textId="77777777" w:rsidR="0045702D" w:rsidRPr="00481903" w:rsidRDefault="0045702D" w:rsidP="00481903">
            <w:pPr>
              <w:pStyle w:val="TableText"/>
              <w:spacing w:line="240" w:lineRule="auto"/>
              <w:jc w:val="right"/>
              <w:cnfStyle w:val="000000000000" w:firstRow="0" w:lastRow="0" w:firstColumn="0" w:lastColumn="0" w:oddVBand="0" w:evenVBand="0" w:oddHBand="0" w:evenHBand="0" w:firstRowFirstColumn="0" w:firstRowLastColumn="0" w:lastRowFirstColumn="0" w:lastRowLastColumn="0"/>
              <w:rPr>
                <w:sz w:val="14"/>
                <w:szCs w:val="14"/>
              </w:rPr>
            </w:pPr>
          </w:p>
        </w:tc>
      </w:tr>
      <w:tr w:rsidR="0045702D" w:rsidRPr="00481903" w14:paraId="60898CAC" w14:textId="77777777" w:rsidTr="00362B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6" w:type="dxa"/>
          </w:tcPr>
          <w:p w14:paraId="2293B7CC" w14:textId="782B09FE" w:rsidR="0045702D" w:rsidRPr="00481903" w:rsidRDefault="0045702D" w:rsidP="00481903">
            <w:pPr>
              <w:pStyle w:val="TableText"/>
              <w:spacing w:line="240" w:lineRule="auto"/>
              <w:rPr>
                <w:sz w:val="14"/>
                <w:szCs w:val="14"/>
              </w:rPr>
            </w:pPr>
            <w:r w:rsidRPr="00481903">
              <w:rPr>
                <w:sz w:val="14"/>
                <w:szCs w:val="14"/>
              </w:rPr>
              <w:t xml:space="preserve">21 Feb </w:t>
            </w:r>
            <w:r w:rsidR="00FB1B1C">
              <w:rPr>
                <w:sz w:val="14"/>
                <w:szCs w:val="14"/>
              </w:rPr>
              <w:t>22</w:t>
            </w:r>
          </w:p>
        </w:tc>
        <w:tc>
          <w:tcPr>
            <w:tcW w:w="1457" w:type="dxa"/>
          </w:tcPr>
          <w:p w14:paraId="17FECB27" w14:textId="07BA925B" w:rsidR="0045702D" w:rsidRPr="00481903" w:rsidRDefault="0045702D" w:rsidP="00481903">
            <w:pPr>
              <w:pStyle w:val="TableText"/>
              <w:spacing w:line="240" w:lineRule="auto"/>
              <w:jc w:val="right"/>
              <w:cnfStyle w:val="000000100000" w:firstRow="0" w:lastRow="0" w:firstColumn="0" w:lastColumn="0" w:oddVBand="0" w:evenVBand="0" w:oddHBand="1" w:evenHBand="0" w:firstRowFirstColumn="0" w:firstRowLastColumn="0" w:lastRowFirstColumn="0" w:lastRowLastColumn="0"/>
              <w:rPr>
                <w:sz w:val="14"/>
                <w:szCs w:val="14"/>
              </w:rPr>
            </w:pPr>
            <w:r w:rsidRPr="00481903">
              <w:rPr>
                <w:sz w:val="14"/>
                <w:szCs w:val="14"/>
              </w:rPr>
              <w:t>22,587</w:t>
            </w:r>
          </w:p>
        </w:tc>
        <w:tc>
          <w:tcPr>
            <w:tcW w:w="1457" w:type="dxa"/>
          </w:tcPr>
          <w:p w14:paraId="24C459EE" w14:textId="5EB4C4AD" w:rsidR="0045702D" w:rsidRPr="00481903" w:rsidRDefault="0045702D" w:rsidP="00481903">
            <w:pPr>
              <w:pStyle w:val="TableText"/>
              <w:spacing w:line="240" w:lineRule="auto"/>
              <w:jc w:val="right"/>
              <w:cnfStyle w:val="000000100000" w:firstRow="0" w:lastRow="0" w:firstColumn="0" w:lastColumn="0" w:oddVBand="0" w:evenVBand="0" w:oddHBand="1" w:evenHBand="0" w:firstRowFirstColumn="0" w:firstRowLastColumn="0" w:lastRowFirstColumn="0" w:lastRowLastColumn="0"/>
              <w:rPr>
                <w:sz w:val="14"/>
                <w:szCs w:val="14"/>
              </w:rPr>
            </w:pPr>
            <w:r w:rsidRPr="00481903">
              <w:rPr>
                <w:sz w:val="14"/>
                <w:szCs w:val="14"/>
              </w:rPr>
              <w:t>80</w:t>
            </w:r>
          </w:p>
        </w:tc>
        <w:tc>
          <w:tcPr>
            <w:tcW w:w="1457" w:type="dxa"/>
          </w:tcPr>
          <w:p w14:paraId="1BBAD33C" w14:textId="77777777" w:rsidR="0045702D" w:rsidRPr="00481903" w:rsidRDefault="0045702D" w:rsidP="00481903">
            <w:pPr>
              <w:pStyle w:val="TableText"/>
              <w:spacing w:line="240" w:lineRule="auto"/>
              <w:jc w:val="right"/>
              <w:cnfStyle w:val="000000100000" w:firstRow="0" w:lastRow="0" w:firstColumn="0" w:lastColumn="0" w:oddVBand="0" w:evenVBand="0" w:oddHBand="1" w:evenHBand="0" w:firstRowFirstColumn="0" w:firstRowLastColumn="0" w:lastRowFirstColumn="0" w:lastRowLastColumn="0"/>
              <w:rPr>
                <w:sz w:val="14"/>
                <w:szCs w:val="14"/>
              </w:rPr>
            </w:pPr>
          </w:p>
        </w:tc>
        <w:tc>
          <w:tcPr>
            <w:tcW w:w="1457" w:type="dxa"/>
          </w:tcPr>
          <w:p w14:paraId="69465B1E" w14:textId="77777777" w:rsidR="0045702D" w:rsidRPr="00481903" w:rsidRDefault="0045702D" w:rsidP="00481903">
            <w:pPr>
              <w:pStyle w:val="TableText"/>
              <w:spacing w:line="240" w:lineRule="auto"/>
              <w:jc w:val="right"/>
              <w:cnfStyle w:val="000000100000" w:firstRow="0" w:lastRow="0" w:firstColumn="0" w:lastColumn="0" w:oddVBand="0" w:evenVBand="0" w:oddHBand="1" w:evenHBand="0" w:firstRowFirstColumn="0" w:firstRowLastColumn="0" w:lastRowFirstColumn="0" w:lastRowLastColumn="0"/>
              <w:rPr>
                <w:sz w:val="14"/>
                <w:szCs w:val="14"/>
              </w:rPr>
            </w:pPr>
          </w:p>
        </w:tc>
        <w:tc>
          <w:tcPr>
            <w:tcW w:w="1457" w:type="dxa"/>
          </w:tcPr>
          <w:p w14:paraId="4B228230" w14:textId="77777777" w:rsidR="0045702D" w:rsidRPr="00481903" w:rsidRDefault="0045702D" w:rsidP="00481903">
            <w:pPr>
              <w:pStyle w:val="TableText"/>
              <w:spacing w:line="240" w:lineRule="auto"/>
              <w:jc w:val="right"/>
              <w:cnfStyle w:val="000000100000" w:firstRow="0" w:lastRow="0" w:firstColumn="0" w:lastColumn="0" w:oddVBand="0" w:evenVBand="0" w:oddHBand="1" w:evenHBand="0" w:firstRowFirstColumn="0" w:firstRowLastColumn="0" w:lastRowFirstColumn="0" w:lastRowLastColumn="0"/>
              <w:rPr>
                <w:sz w:val="14"/>
                <w:szCs w:val="14"/>
              </w:rPr>
            </w:pPr>
          </w:p>
        </w:tc>
        <w:tc>
          <w:tcPr>
            <w:tcW w:w="1457" w:type="dxa"/>
          </w:tcPr>
          <w:p w14:paraId="05E941AF" w14:textId="77777777" w:rsidR="0045702D" w:rsidRPr="00481903" w:rsidRDefault="0045702D" w:rsidP="00481903">
            <w:pPr>
              <w:pStyle w:val="TableText"/>
              <w:spacing w:line="240" w:lineRule="auto"/>
              <w:jc w:val="right"/>
              <w:cnfStyle w:val="000000100000" w:firstRow="0" w:lastRow="0" w:firstColumn="0" w:lastColumn="0" w:oddVBand="0" w:evenVBand="0" w:oddHBand="1" w:evenHBand="0" w:firstRowFirstColumn="0" w:firstRowLastColumn="0" w:lastRowFirstColumn="0" w:lastRowLastColumn="0"/>
              <w:rPr>
                <w:sz w:val="14"/>
                <w:szCs w:val="14"/>
              </w:rPr>
            </w:pPr>
          </w:p>
        </w:tc>
      </w:tr>
      <w:tr w:rsidR="0045702D" w:rsidRPr="00481903" w14:paraId="45171E21" w14:textId="77777777" w:rsidTr="00362BDA">
        <w:tc>
          <w:tcPr>
            <w:cnfStyle w:val="001000000000" w:firstRow="0" w:lastRow="0" w:firstColumn="1" w:lastColumn="0" w:oddVBand="0" w:evenVBand="0" w:oddHBand="0" w:evenHBand="0" w:firstRowFirstColumn="0" w:firstRowLastColumn="0" w:lastRowFirstColumn="0" w:lastRowLastColumn="0"/>
            <w:tcW w:w="1456" w:type="dxa"/>
          </w:tcPr>
          <w:p w14:paraId="620A97C4" w14:textId="00C54980" w:rsidR="0045702D" w:rsidRPr="00481903" w:rsidRDefault="0045702D" w:rsidP="00481903">
            <w:pPr>
              <w:pStyle w:val="TableText"/>
              <w:spacing w:line="240" w:lineRule="auto"/>
              <w:rPr>
                <w:sz w:val="14"/>
                <w:szCs w:val="14"/>
              </w:rPr>
            </w:pPr>
            <w:r w:rsidRPr="00481903">
              <w:rPr>
                <w:sz w:val="14"/>
                <w:szCs w:val="14"/>
              </w:rPr>
              <w:t xml:space="preserve">22 Feb </w:t>
            </w:r>
            <w:r w:rsidR="00FB1B1C">
              <w:rPr>
                <w:sz w:val="14"/>
                <w:szCs w:val="14"/>
              </w:rPr>
              <w:t>22</w:t>
            </w:r>
          </w:p>
        </w:tc>
        <w:tc>
          <w:tcPr>
            <w:tcW w:w="1457" w:type="dxa"/>
          </w:tcPr>
          <w:p w14:paraId="4B6D2BB8" w14:textId="784C0751" w:rsidR="0045702D" w:rsidRPr="00481903" w:rsidRDefault="0045702D" w:rsidP="00481903">
            <w:pPr>
              <w:pStyle w:val="TableText"/>
              <w:spacing w:line="240" w:lineRule="auto"/>
              <w:jc w:val="right"/>
              <w:cnfStyle w:val="000000000000" w:firstRow="0" w:lastRow="0" w:firstColumn="0" w:lastColumn="0" w:oddVBand="0" w:evenVBand="0" w:oddHBand="0" w:evenHBand="0" w:firstRowFirstColumn="0" w:firstRowLastColumn="0" w:lastRowFirstColumn="0" w:lastRowLastColumn="0"/>
              <w:rPr>
                <w:sz w:val="14"/>
                <w:szCs w:val="14"/>
              </w:rPr>
            </w:pPr>
            <w:r w:rsidRPr="00481903">
              <w:rPr>
                <w:sz w:val="14"/>
                <w:szCs w:val="14"/>
              </w:rPr>
              <w:t>18,576</w:t>
            </w:r>
          </w:p>
        </w:tc>
        <w:tc>
          <w:tcPr>
            <w:tcW w:w="1457" w:type="dxa"/>
          </w:tcPr>
          <w:p w14:paraId="363312CD" w14:textId="57EA0B78" w:rsidR="0045702D" w:rsidRPr="00481903" w:rsidRDefault="0045702D" w:rsidP="00481903">
            <w:pPr>
              <w:pStyle w:val="TableText"/>
              <w:spacing w:line="240" w:lineRule="auto"/>
              <w:jc w:val="right"/>
              <w:cnfStyle w:val="000000000000" w:firstRow="0" w:lastRow="0" w:firstColumn="0" w:lastColumn="0" w:oddVBand="0" w:evenVBand="0" w:oddHBand="0" w:evenHBand="0" w:firstRowFirstColumn="0" w:firstRowLastColumn="0" w:lastRowFirstColumn="0" w:lastRowLastColumn="0"/>
              <w:rPr>
                <w:sz w:val="14"/>
                <w:szCs w:val="14"/>
              </w:rPr>
            </w:pPr>
            <w:r w:rsidRPr="00481903">
              <w:rPr>
                <w:sz w:val="14"/>
                <w:szCs w:val="14"/>
              </w:rPr>
              <w:t>80</w:t>
            </w:r>
          </w:p>
        </w:tc>
        <w:tc>
          <w:tcPr>
            <w:tcW w:w="1457" w:type="dxa"/>
          </w:tcPr>
          <w:p w14:paraId="60651DF5" w14:textId="1B6ECE76" w:rsidR="0045702D" w:rsidRPr="00481903" w:rsidRDefault="0045702D" w:rsidP="00481903">
            <w:pPr>
              <w:pStyle w:val="TableText"/>
              <w:spacing w:line="240" w:lineRule="auto"/>
              <w:jc w:val="right"/>
              <w:cnfStyle w:val="000000000000" w:firstRow="0" w:lastRow="0" w:firstColumn="0" w:lastColumn="0" w:oddVBand="0" w:evenVBand="0" w:oddHBand="0" w:evenHBand="0" w:firstRowFirstColumn="0" w:firstRowLastColumn="0" w:lastRowFirstColumn="0" w:lastRowLastColumn="0"/>
              <w:rPr>
                <w:sz w:val="14"/>
                <w:szCs w:val="14"/>
              </w:rPr>
            </w:pPr>
          </w:p>
        </w:tc>
        <w:tc>
          <w:tcPr>
            <w:tcW w:w="1457" w:type="dxa"/>
          </w:tcPr>
          <w:p w14:paraId="223B37E4" w14:textId="77777777" w:rsidR="0045702D" w:rsidRPr="00481903" w:rsidRDefault="0045702D" w:rsidP="00481903">
            <w:pPr>
              <w:pStyle w:val="TableText"/>
              <w:spacing w:line="240" w:lineRule="auto"/>
              <w:jc w:val="right"/>
              <w:cnfStyle w:val="000000000000" w:firstRow="0" w:lastRow="0" w:firstColumn="0" w:lastColumn="0" w:oddVBand="0" w:evenVBand="0" w:oddHBand="0" w:evenHBand="0" w:firstRowFirstColumn="0" w:firstRowLastColumn="0" w:lastRowFirstColumn="0" w:lastRowLastColumn="0"/>
              <w:rPr>
                <w:sz w:val="14"/>
                <w:szCs w:val="14"/>
              </w:rPr>
            </w:pPr>
          </w:p>
        </w:tc>
        <w:tc>
          <w:tcPr>
            <w:tcW w:w="1457" w:type="dxa"/>
          </w:tcPr>
          <w:p w14:paraId="54DBF148" w14:textId="77777777" w:rsidR="0045702D" w:rsidRPr="00481903" w:rsidRDefault="0045702D" w:rsidP="00481903">
            <w:pPr>
              <w:pStyle w:val="TableText"/>
              <w:spacing w:line="240" w:lineRule="auto"/>
              <w:jc w:val="right"/>
              <w:cnfStyle w:val="000000000000" w:firstRow="0" w:lastRow="0" w:firstColumn="0" w:lastColumn="0" w:oddVBand="0" w:evenVBand="0" w:oddHBand="0" w:evenHBand="0" w:firstRowFirstColumn="0" w:firstRowLastColumn="0" w:lastRowFirstColumn="0" w:lastRowLastColumn="0"/>
              <w:rPr>
                <w:sz w:val="14"/>
                <w:szCs w:val="14"/>
              </w:rPr>
            </w:pPr>
          </w:p>
        </w:tc>
        <w:tc>
          <w:tcPr>
            <w:tcW w:w="1457" w:type="dxa"/>
          </w:tcPr>
          <w:p w14:paraId="14C42DA0" w14:textId="77777777" w:rsidR="0045702D" w:rsidRPr="00481903" w:rsidRDefault="0045702D" w:rsidP="00481903">
            <w:pPr>
              <w:pStyle w:val="TableText"/>
              <w:spacing w:line="240" w:lineRule="auto"/>
              <w:jc w:val="right"/>
              <w:cnfStyle w:val="000000000000" w:firstRow="0" w:lastRow="0" w:firstColumn="0" w:lastColumn="0" w:oddVBand="0" w:evenVBand="0" w:oddHBand="0" w:evenHBand="0" w:firstRowFirstColumn="0" w:firstRowLastColumn="0" w:lastRowFirstColumn="0" w:lastRowLastColumn="0"/>
              <w:rPr>
                <w:sz w:val="14"/>
                <w:szCs w:val="14"/>
              </w:rPr>
            </w:pPr>
          </w:p>
        </w:tc>
      </w:tr>
      <w:tr w:rsidR="0045702D" w:rsidRPr="00481903" w14:paraId="189C3DE1" w14:textId="77777777" w:rsidTr="00362B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6" w:type="dxa"/>
          </w:tcPr>
          <w:p w14:paraId="1823F810" w14:textId="3F9C69A4" w:rsidR="0045702D" w:rsidRPr="00481903" w:rsidRDefault="0045702D" w:rsidP="00481903">
            <w:pPr>
              <w:pStyle w:val="TableText"/>
              <w:spacing w:line="240" w:lineRule="auto"/>
              <w:rPr>
                <w:sz w:val="14"/>
                <w:szCs w:val="14"/>
              </w:rPr>
            </w:pPr>
            <w:r w:rsidRPr="00481903">
              <w:rPr>
                <w:sz w:val="14"/>
                <w:szCs w:val="14"/>
              </w:rPr>
              <w:t xml:space="preserve">23 Feb </w:t>
            </w:r>
            <w:r w:rsidR="00FB1B1C">
              <w:rPr>
                <w:sz w:val="14"/>
                <w:szCs w:val="14"/>
              </w:rPr>
              <w:t>22</w:t>
            </w:r>
          </w:p>
        </w:tc>
        <w:tc>
          <w:tcPr>
            <w:tcW w:w="1457" w:type="dxa"/>
          </w:tcPr>
          <w:p w14:paraId="36F033E9" w14:textId="59B0D023" w:rsidR="0045702D" w:rsidRPr="00481903" w:rsidRDefault="0045702D" w:rsidP="00481903">
            <w:pPr>
              <w:pStyle w:val="TableText"/>
              <w:spacing w:line="240" w:lineRule="auto"/>
              <w:jc w:val="right"/>
              <w:cnfStyle w:val="000000100000" w:firstRow="0" w:lastRow="0" w:firstColumn="0" w:lastColumn="0" w:oddVBand="0" w:evenVBand="0" w:oddHBand="1" w:evenHBand="0" w:firstRowFirstColumn="0" w:firstRowLastColumn="0" w:lastRowFirstColumn="0" w:lastRowLastColumn="0"/>
              <w:rPr>
                <w:sz w:val="14"/>
                <w:szCs w:val="14"/>
              </w:rPr>
            </w:pPr>
            <w:r w:rsidRPr="00481903">
              <w:rPr>
                <w:sz w:val="14"/>
                <w:szCs w:val="14"/>
              </w:rPr>
              <w:t>21,458</w:t>
            </w:r>
          </w:p>
        </w:tc>
        <w:tc>
          <w:tcPr>
            <w:tcW w:w="1457" w:type="dxa"/>
          </w:tcPr>
          <w:p w14:paraId="38045107" w14:textId="04F33B0B" w:rsidR="0045702D" w:rsidRPr="00481903" w:rsidRDefault="0045702D" w:rsidP="00481903">
            <w:pPr>
              <w:pStyle w:val="TableText"/>
              <w:spacing w:line="240" w:lineRule="auto"/>
              <w:jc w:val="right"/>
              <w:cnfStyle w:val="000000100000" w:firstRow="0" w:lastRow="0" w:firstColumn="0" w:lastColumn="0" w:oddVBand="0" w:evenVBand="0" w:oddHBand="1" w:evenHBand="0" w:firstRowFirstColumn="0" w:firstRowLastColumn="0" w:lastRowFirstColumn="0" w:lastRowLastColumn="0"/>
              <w:rPr>
                <w:sz w:val="14"/>
                <w:szCs w:val="14"/>
              </w:rPr>
            </w:pPr>
            <w:r w:rsidRPr="00481903">
              <w:rPr>
                <w:sz w:val="14"/>
                <w:szCs w:val="14"/>
              </w:rPr>
              <w:t>80</w:t>
            </w:r>
          </w:p>
        </w:tc>
        <w:tc>
          <w:tcPr>
            <w:tcW w:w="1457" w:type="dxa"/>
          </w:tcPr>
          <w:p w14:paraId="18A55C27" w14:textId="77777777" w:rsidR="0045702D" w:rsidRPr="00481903" w:rsidRDefault="0045702D" w:rsidP="00481903">
            <w:pPr>
              <w:pStyle w:val="TableText"/>
              <w:spacing w:line="240" w:lineRule="auto"/>
              <w:jc w:val="right"/>
              <w:cnfStyle w:val="000000100000" w:firstRow="0" w:lastRow="0" w:firstColumn="0" w:lastColumn="0" w:oddVBand="0" w:evenVBand="0" w:oddHBand="1" w:evenHBand="0" w:firstRowFirstColumn="0" w:firstRowLastColumn="0" w:lastRowFirstColumn="0" w:lastRowLastColumn="0"/>
              <w:rPr>
                <w:sz w:val="14"/>
                <w:szCs w:val="14"/>
              </w:rPr>
            </w:pPr>
          </w:p>
        </w:tc>
        <w:tc>
          <w:tcPr>
            <w:tcW w:w="1457" w:type="dxa"/>
          </w:tcPr>
          <w:p w14:paraId="1ACCF925" w14:textId="77777777" w:rsidR="0045702D" w:rsidRPr="00481903" w:rsidRDefault="0045702D" w:rsidP="00481903">
            <w:pPr>
              <w:pStyle w:val="TableText"/>
              <w:spacing w:line="240" w:lineRule="auto"/>
              <w:jc w:val="right"/>
              <w:cnfStyle w:val="000000100000" w:firstRow="0" w:lastRow="0" w:firstColumn="0" w:lastColumn="0" w:oddVBand="0" w:evenVBand="0" w:oddHBand="1" w:evenHBand="0" w:firstRowFirstColumn="0" w:firstRowLastColumn="0" w:lastRowFirstColumn="0" w:lastRowLastColumn="0"/>
              <w:rPr>
                <w:sz w:val="14"/>
                <w:szCs w:val="14"/>
              </w:rPr>
            </w:pPr>
          </w:p>
        </w:tc>
        <w:tc>
          <w:tcPr>
            <w:tcW w:w="1457" w:type="dxa"/>
          </w:tcPr>
          <w:p w14:paraId="447EC407" w14:textId="77777777" w:rsidR="0045702D" w:rsidRPr="00481903" w:rsidRDefault="0045702D" w:rsidP="00481903">
            <w:pPr>
              <w:pStyle w:val="TableText"/>
              <w:spacing w:line="240" w:lineRule="auto"/>
              <w:jc w:val="right"/>
              <w:cnfStyle w:val="000000100000" w:firstRow="0" w:lastRow="0" w:firstColumn="0" w:lastColumn="0" w:oddVBand="0" w:evenVBand="0" w:oddHBand="1" w:evenHBand="0" w:firstRowFirstColumn="0" w:firstRowLastColumn="0" w:lastRowFirstColumn="0" w:lastRowLastColumn="0"/>
              <w:rPr>
                <w:sz w:val="14"/>
                <w:szCs w:val="14"/>
              </w:rPr>
            </w:pPr>
          </w:p>
        </w:tc>
        <w:tc>
          <w:tcPr>
            <w:tcW w:w="1457" w:type="dxa"/>
          </w:tcPr>
          <w:p w14:paraId="4E33143D" w14:textId="77777777" w:rsidR="0045702D" w:rsidRPr="00481903" w:rsidRDefault="0045702D" w:rsidP="00481903">
            <w:pPr>
              <w:pStyle w:val="TableText"/>
              <w:spacing w:line="240" w:lineRule="auto"/>
              <w:jc w:val="right"/>
              <w:cnfStyle w:val="000000100000" w:firstRow="0" w:lastRow="0" w:firstColumn="0" w:lastColumn="0" w:oddVBand="0" w:evenVBand="0" w:oddHBand="1" w:evenHBand="0" w:firstRowFirstColumn="0" w:firstRowLastColumn="0" w:lastRowFirstColumn="0" w:lastRowLastColumn="0"/>
              <w:rPr>
                <w:sz w:val="14"/>
                <w:szCs w:val="14"/>
              </w:rPr>
            </w:pPr>
          </w:p>
        </w:tc>
      </w:tr>
      <w:tr w:rsidR="0045702D" w:rsidRPr="00481903" w14:paraId="2920C38A" w14:textId="77777777" w:rsidTr="00362BDA">
        <w:tc>
          <w:tcPr>
            <w:cnfStyle w:val="001000000000" w:firstRow="0" w:lastRow="0" w:firstColumn="1" w:lastColumn="0" w:oddVBand="0" w:evenVBand="0" w:oddHBand="0" w:evenHBand="0" w:firstRowFirstColumn="0" w:firstRowLastColumn="0" w:lastRowFirstColumn="0" w:lastRowLastColumn="0"/>
            <w:tcW w:w="1456" w:type="dxa"/>
          </w:tcPr>
          <w:p w14:paraId="3CED39B0" w14:textId="505B17A0" w:rsidR="0045702D" w:rsidRPr="00481903" w:rsidRDefault="0045702D" w:rsidP="00481903">
            <w:pPr>
              <w:pStyle w:val="TableText"/>
              <w:spacing w:line="240" w:lineRule="auto"/>
              <w:rPr>
                <w:sz w:val="14"/>
                <w:szCs w:val="14"/>
              </w:rPr>
            </w:pPr>
            <w:r w:rsidRPr="00481903">
              <w:rPr>
                <w:sz w:val="14"/>
                <w:szCs w:val="14"/>
              </w:rPr>
              <w:t xml:space="preserve">24 Feb </w:t>
            </w:r>
            <w:r w:rsidR="00FB1B1C">
              <w:rPr>
                <w:sz w:val="14"/>
                <w:szCs w:val="14"/>
              </w:rPr>
              <w:t>22</w:t>
            </w:r>
          </w:p>
        </w:tc>
        <w:tc>
          <w:tcPr>
            <w:tcW w:w="1457" w:type="dxa"/>
          </w:tcPr>
          <w:p w14:paraId="73CAF42B" w14:textId="72DD37E1" w:rsidR="0045702D" w:rsidRPr="00481903" w:rsidRDefault="0045702D" w:rsidP="00481903">
            <w:pPr>
              <w:pStyle w:val="TableText"/>
              <w:spacing w:line="240" w:lineRule="auto"/>
              <w:jc w:val="right"/>
              <w:cnfStyle w:val="000000000000" w:firstRow="0" w:lastRow="0" w:firstColumn="0" w:lastColumn="0" w:oddVBand="0" w:evenVBand="0" w:oddHBand="0" w:evenHBand="0" w:firstRowFirstColumn="0" w:firstRowLastColumn="0" w:lastRowFirstColumn="0" w:lastRowLastColumn="0"/>
              <w:rPr>
                <w:sz w:val="14"/>
                <w:szCs w:val="14"/>
              </w:rPr>
            </w:pPr>
            <w:r w:rsidRPr="00481903">
              <w:rPr>
                <w:sz w:val="14"/>
                <w:szCs w:val="14"/>
              </w:rPr>
              <w:t>22,589</w:t>
            </w:r>
          </w:p>
        </w:tc>
        <w:tc>
          <w:tcPr>
            <w:tcW w:w="1457" w:type="dxa"/>
          </w:tcPr>
          <w:p w14:paraId="4C0610A7" w14:textId="022CD4FD" w:rsidR="0045702D" w:rsidRPr="00481903" w:rsidRDefault="0045702D" w:rsidP="00481903">
            <w:pPr>
              <w:pStyle w:val="TableText"/>
              <w:spacing w:line="240" w:lineRule="auto"/>
              <w:jc w:val="right"/>
              <w:cnfStyle w:val="000000000000" w:firstRow="0" w:lastRow="0" w:firstColumn="0" w:lastColumn="0" w:oddVBand="0" w:evenVBand="0" w:oddHBand="0" w:evenHBand="0" w:firstRowFirstColumn="0" w:firstRowLastColumn="0" w:lastRowFirstColumn="0" w:lastRowLastColumn="0"/>
              <w:rPr>
                <w:sz w:val="14"/>
                <w:szCs w:val="14"/>
              </w:rPr>
            </w:pPr>
            <w:r w:rsidRPr="00481903">
              <w:rPr>
                <w:sz w:val="14"/>
                <w:szCs w:val="14"/>
              </w:rPr>
              <w:t>80</w:t>
            </w:r>
          </w:p>
        </w:tc>
        <w:tc>
          <w:tcPr>
            <w:tcW w:w="1457" w:type="dxa"/>
          </w:tcPr>
          <w:p w14:paraId="1FB9BA66" w14:textId="77777777" w:rsidR="0045702D" w:rsidRPr="00481903" w:rsidRDefault="0045702D" w:rsidP="00481903">
            <w:pPr>
              <w:pStyle w:val="TableText"/>
              <w:spacing w:line="240" w:lineRule="auto"/>
              <w:jc w:val="right"/>
              <w:cnfStyle w:val="000000000000" w:firstRow="0" w:lastRow="0" w:firstColumn="0" w:lastColumn="0" w:oddVBand="0" w:evenVBand="0" w:oddHBand="0" w:evenHBand="0" w:firstRowFirstColumn="0" w:firstRowLastColumn="0" w:lastRowFirstColumn="0" w:lastRowLastColumn="0"/>
              <w:rPr>
                <w:sz w:val="14"/>
                <w:szCs w:val="14"/>
              </w:rPr>
            </w:pPr>
          </w:p>
        </w:tc>
        <w:tc>
          <w:tcPr>
            <w:tcW w:w="1457" w:type="dxa"/>
          </w:tcPr>
          <w:p w14:paraId="3330ABD4" w14:textId="77777777" w:rsidR="0045702D" w:rsidRPr="00481903" w:rsidRDefault="0045702D" w:rsidP="00481903">
            <w:pPr>
              <w:pStyle w:val="TableText"/>
              <w:spacing w:line="240" w:lineRule="auto"/>
              <w:jc w:val="right"/>
              <w:cnfStyle w:val="000000000000" w:firstRow="0" w:lastRow="0" w:firstColumn="0" w:lastColumn="0" w:oddVBand="0" w:evenVBand="0" w:oddHBand="0" w:evenHBand="0" w:firstRowFirstColumn="0" w:firstRowLastColumn="0" w:lastRowFirstColumn="0" w:lastRowLastColumn="0"/>
              <w:rPr>
                <w:sz w:val="14"/>
                <w:szCs w:val="14"/>
              </w:rPr>
            </w:pPr>
          </w:p>
        </w:tc>
        <w:tc>
          <w:tcPr>
            <w:tcW w:w="1457" w:type="dxa"/>
          </w:tcPr>
          <w:p w14:paraId="6D3CB682" w14:textId="77777777" w:rsidR="0045702D" w:rsidRPr="00481903" w:rsidRDefault="0045702D" w:rsidP="00481903">
            <w:pPr>
              <w:pStyle w:val="TableText"/>
              <w:spacing w:line="240" w:lineRule="auto"/>
              <w:jc w:val="right"/>
              <w:cnfStyle w:val="000000000000" w:firstRow="0" w:lastRow="0" w:firstColumn="0" w:lastColumn="0" w:oddVBand="0" w:evenVBand="0" w:oddHBand="0" w:evenHBand="0" w:firstRowFirstColumn="0" w:firstRowLastColumn="0" w:lastRowFirstColumn="0" w:lastRowLastColumn="0"/>
              <w:rPr>
                <w:sz w:val="14"/>
                <w:szCs w:val="14"/>
              </w:rPr>
            </w:pPr>
          </w:p>
        </w:tc>
        <w:tc>
          <w:tcPr>
            <w:tcW w:w="1457" w:type="dxa"/>
          </w:tcPr>
          <w:p w14:paraId="4D3298E7" w14:textId="77777777" w:rsidR="0045702D" w:rsidRPr="00481903" w:rsidRDefault="0045702D" w:rsidP="00481903">
            <w:pPr>
              <w:pStyle w:val="TableText"/>
              <w:spacing w:line="240" w:lineRule="auto"/>
              <w:jc w:val="right"/>
              <w:cnfStyle w:val="000000000000" w:firstRow="0" w:lastRow="0" w:firstColumn="0" w:lastColumn="0" w:oddVBand="0" w:evenVBand="0" w:oddHBand="0" w:evenHBand="0" w:firstRowFirstColumn="0" w:firstRowLastColumn="0" w:lastRowFirstColumn="0" w:lastRowLastColumn="0"/>
              <w:rPr>
                <w:sz w:val="14"/>
                <w:szCs w:val="14"/>
              </w:rPr>
            </w:pPr>
          </w:p>
        </w:tc>
      </w:tr>
      <w:tr w:rsidR="0045702D" w:rsidRPr="00481903" w14:paraId="037D73EC" w14:textId="77777777" w:rsidTr="00362B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6" w:type="dxa"/>
          </w:tcPr>
          <w:p w14:paraId="5BF6D476" w14:textId="497356FB" w:rsidR="0045702D" w:rsidRPr="00481903" w:rsidRDefault="0045702D" w:rsidP="00481903">
            <w:pPr>
              <w:pStyle w:val="TableText"/>
              <w:spacing w:line="240" w:lineRule="auto"/>
              <w:rPr>
                <w:sz w:val="14"/>
                <w:szCs w:val="14"/>
              </w:rPr>
            </w:pPr>
            <w:r w:rsidRPr="00481903">
              <w:rPr>
                <w:sz w:val="14"/>
                <w:szCs w:val="14"/>
              </w:rPr>
              <w:t xml:space="preserve">25 Feb </w:t>
            </w:r>
            <w:r w:rsidR="00FB1B1C">
              <w:rPr>
                <w:sz w:val="14"/>
                <w:szCs w:val="14"/>
              </w:rPr>
              <w:t>22</w:t>
            </w:r>
          </w:p>
        </w:tc>
        <w:tc>
          <w:tcPr>
            <w:tcW w:w="1457" w:type="dxa"/>
          </w:tcPr>
          <w:p w14:paraId="27419686" w14:textId="24E0E8BB" w:rsidR="0045702D" w:rsidRPr="00481903" w:rsidRDefault="0045702D" w:rsidP="00481903">
            <w:pPr>
              <w:pStyle w:val="TableText"/>
              <w:spacing w:line="240" w:lineRule="auto"/>
              <w:jc w:val="right"/>
              <w:cnfStyle w:val="000000100000" w:firstRow="0" w:lastRow="0" w:firstColumn="0" w:lastColumn="0" w:oddVBand="0" w:evenVBand="0" w:oddHBand="1" w:evenHBand="0" w:firstRowFirstColumn="0" w:firstRowLastColumn="0" w:lastRowFirstColumn="0" w:lastRowLastColumn="0"/>
              <w:rPr>
                <w:sz w:val="14"/>
                <w:szCs w:val="14"/>
              </w:rPr>
            </w:pPr>
            <w:r w:rsidRPr="00481903">
              <w:rPr>
                <w:sz w:val="14"/>
                <w:szCs w:val="14"/>
              </w:rPr>
              <w:t>23,489</w:t>
            </w:r>
          </w:p>
        </w:tc>
        <w:tc>
          <w:tcPr>
            <w:tcW w:w="1457" w:type="dxa"/>
          </w:tcPr>
          <w:p w14:paraId="1A385C7D" w14:textId="0CF3A609" w:rsidR="0045702D" w:rsidRPr="00481903" w:rsidRDefault="0045702D" w:rsidP="00481903">
            <w:pPr>
              <w:pStyle w:val="TableText"/>
              <w:spacing w:line="240" w:lineRule="auto"/>
              <w:jc w:val="right"/>
              <w:cnfStyle w:val="000000100000" w:firstRow="0" w:lastRow="0" w:firstColumn="0" w:lastColumn="0" w:oddVBand="0" w:evenVBand="0" w:oddHBand="1" w:evenHBand="0" w:firstRowFirstColumn="0" w:firstRowLastColumn="0" w:lastRowFirstColumn="0" w:lastRowLastColumn="0"/>
              <w:rPr>
                <w:sz w:val="14"/>
                <w:szCs w:val="14"/>
              </w:rPr>
            </w:pPr>
            <w:r w:rsidRPr="00481903">
              <w:rPr>
                <w:sz w:val="14"/>
                <w:szCs w:val="14"/>
              </w:rPr>
              <w:t>80</w:t>
            </w:r>
          </w:p>
        </w:tc>
        <w:tc>
          <w:tcPr>
            <w:tcW w:w="1457" w:type="dxa"/>
          </w:tcPr>
          <w:p w14:paraId="7F40D7A9" w14:textId="77777777" w:rsidR="0045702D" w:rsidRPr="00481903" w:rsidRDefault="0045702D" w:rsidP="00481903">
            <w:pPr>
              <w:pStyle w:val="TableText"/>
              <w:spacing w:line="240" w:lineRule="auto"/>
              <w:jc w:val="right"/>
              <w:cnfStyle w:val="000000100000" w:firstRow="0" w:lastRow="0" w:firstColumn="0" w:lastColumn="0" w:oddVBand="0" w:evenVBand="0" w:oddHBand="1" w:evenHBand="0" w:firstRowFirstColumn="0" w:firstRowLastColumn="0" w:lastRowFirstColumn="0" w:lastRowLastColumn="0"/>
              <w:rPr>
                <w:sz w:val="14"/>
                <w:szCs w:val="14"/>
              </w:rPr>
            </w:pPr>
          </w:p>
        </w:tc>
        <w:tc>
          <w:tcPr>
            <w:tcW w:w="1457" w:type="dxa"/>
          </w:tcPr>
          <w:p w14:paraId="759E6DB2" w14:textId="77777777" w:rsidR="0045702D" w:rsidRPr="00481903" w:rsidRDefault="0045702D" w:rsidP="00481903">
            <w:pPr>
              <w:pStyle w:val="TableText"/>
              <w:spacing w:line="240" w:lineRule="auto"/>
              <w:jc w:val="right"/>
              <w:cnfStyle w:val="000000100000" w:firstRow="0" w:lastRow="0" w:firstColumn="0" w:lastColumn="0" w:oddVBand="0" w:evenVBand="0" w:oddHBand="1" w:evenHBand="0" w:firstRowFirstColumn="0" w:firstRowLastColumn="0" w:lastRowFirstColumn="0" w:lastRowLastColumn="0"/>
              <w:rPr>
                <w:sz w:val="14"/>
                <w:szCs w:val="14"/>
              </w:rPr>
            </w:pPr>
          </w:p>
        </w:tc>
        <w:tc>
          <w:tcPr>
            <w:tcW w:w="1457" w:type="dxa"/>
          </w:tcPr>
          <w:p w14:paraId="59E336E1" w14:textId="77777777" w:rsidR="0045702D" w:rsidRPr="00481903" w:rsidRDefault="0045702D" w:rsidP="00481903">
            <w:pPr>
              <w:pStyle w:val="TableText"/>
              <w:spacing w:line="240" w:lineRule="auto"/>
              <w:jc w:val="right"/>
              <w:cnfStyle w:val="000000100000" w:firstRow="0" w:lastRow="0" w:firstColumn="0" w:lastColumn="0" w:oddVBand="0" w:evenVBand="0" w:oddHBand="1" w:evenHBand="0" w:firstRowFirstColumn="0" w:firstRowLastColumn="0" w:lastRowFirstColumn="0" w:lastRowLastColumn="0"/>
              <w:rPr>
                <w:sz w:val="14"/>
                <w:szCs w:val="14"/>
              </w:rPr>
            </w:pPr>
          </w:p>
        </w:tc>
        <w:tc>
          <w:tcPr>
            <w:tcW w:w="1457" w:type="dxa"/>
          </w:tcPr>
          <w:p w14:paraId="7CBD4142" w14:textId="77777777" w:rsidR="0045702D" w:rsidRPr="00481903" w:rsidRDefault="0045702D" w:rsidP="00481903">
            <w:pPr>
              <w:pStyle w:val="TableText"/>
              <w:spacing w:line="240" w:lineRule="auto"/>
              <w:jc w:val="right"/>
              <w:cnfStyle w:val="000000100000" w:firstRow="0" w:lastRow="0" w:firstColumn="0" w:lastColumn="0" w:oddVBand="0" w:evenVBand="0" w:oddHBand="1" w:evenHBand="0" w:firstRowFirstColumn="0" w:firstRowLastColumn="0" w:lastRowFirstColumn="0" w:lastRowLastColumn="0"/>
              <w:rPr>
                <w:sz w:val="14"/>
                <w:szCs w:val="14"/>
              </w:rPr>
            </w:pPr>
          </w:p>
        </w:tc>
      </w:tr>
      <w:tr w:rsidR="0045702D" w:rsidRPr="00481903" w14:paraId="42A5B4D1" w14:textId="77777777" w:rsidTr="00362BDA">
        <w:tc>
          <w:tcPr>
            <w:cnfStyle w:val="001000000000" w:firstRow="0" w:lastRow="0" w:firstColumn="1" w:lastColumn="0" w:oddVBand="0" w:evenVBand="0" w:oddHBand="0" w:evenHBand="0" w:firstRowFirstColumn="0" w:firstRowLastColumn="0" w:lastRowFirstColumn="0" w:lastRowLastColumn="0"/>
            <w:tcW w:w="1456" w:type="dxa"/>
          </w:tcPr>
          <w:p w14:paraId="36B9B606" w14:textId="211106D8" w:rsidR="0045702D" w:rsidRPr="00481903" w:rsidRDefault="0045702D" w:rsidP="00481903">
            <w:pPr>
              <w:pStyle w:val="TableText"/>
              <w:spacing w:line="240" w:lineRule="auto"/>
              <w:rPr>
                <w:sz w:val="14"/>
                <w:szCs w:val="14"/>
              </w:rPr>
            </w:pPr>
            <w:r w:rsidRPr="00481903">
              <w:rPr>
                <w:sz w:val="14"/>
                <w:szCs w:val="14"/>
              </w:rPr>
              <w:t xml:space="preserve">26 Feb </w:t>
            </w:r>
            <w:r w:rsidR="00FB1B1C">
              <w:rPr>
                <w:sz w:val="14"/>
                <w:szCs w:val="14"/>
              </w:rPr>
              <w:t>22</w:t>
            </w:r>
          </w:p>
        </w:tc>
        <w:tc>
          <w:tcPr>
            <w:tcW w:w="1457" w:type="dxa"/>
          </w:tcPr>
          <w:p w14:paraId="0D88E4EA" w14:textId="0FB5D8B4" w:rsidR="0045702D" w:rsidRPr="00481903" w:rsidRDefault="0045702D" w:rsidP="00481903">
            <w:pPr>
              <w:pStyle w:val="TableText"/>
              <w:spacing w:line="240" w:lineRule="auto"/>
              <w:jc w:val="right"/>
              <w:cnfStyle w:val="000000000000" w:firstRow="0" w:lastRow="0" w:firstColumn="0" w:lastColumn="0" w:oddVBand="0" w:evenVBand="0" w:oddHBand="0" w:evenHBand="0" w:firstRowFirstColumn="0" w:firstRowLastColumn="0" w:lastRowFirstColumn="0" w:lastRowLastColumn="0"/>
              <w:rPr>
                <w:sz w:val="14"/>
                <w:szCs w:val="14"/>
              </w:rPr>
            </w:pPr>
            <w:r w:rsidRPr="00481903">
              <w:rPr>
                <w:sz w:val="14"/>
                <w:szCs w:val="14"/>
              </w:rPr>
              <w:t>21,478</w:t>
            </w:r>
          </w:p>
        </w:tc>
        <w:tc>
          <w:tcPr>
            <w:tcW w:w="1457" w:type="dxa"/>
          </w:tcPr>
          <w:p w14:paraId="57C2AB97" w14:textId="7A355C9E" w:rsidR="0045702D" w:rsidRPr="00481903" w:rsidRDefault="0045702D" w:rsidP="00481903">
            <w:pPr>
              <w:pStyle w:val="TableText"/>
              <w:spacing w:line="240" w:lineRule="auto"/>
              <w:jc w:val="right"/>
              <w:cnfStyle w:val="000000000000" w:firstRow="0" w:lastRow="0" w:firstColumn="0" w:lastColumn="0" w:oddVBand="0" w:evenVBand="0" w:oddHBand="0" w:evenHBand="0" w:firstRowFirstColumn="0" w:firstRowLastColumn="0" w:lastRowFirstColumn="0" w:lastRowLastColumn="0"/>
              <w:rPr>
                <w:sz w:val="14"/>
                <w:szCs w:val="14"/>
              </w:rPr>
            </w:pPr>
            <w:r w:rsidRPr="00481903">
              <w:rPr>
                <w:sz w:val="14"/>
                <w:szCs w:val="14"/>
              </w:rPr>
              <w:t>80</w:t>
            </w:r>
          </w:p>
        </w:tc>
        <w:tc>
          <w:tcPr>
            <w:tcW w:w="1457" w:type="dxa"/>
          </w:tcPr>
          <w:p w14:paraId="623D9DBD" w14:textId="77777777" w:rsidR="0045702D" w:rsidRPr="00481903" w:rsidRDefault="0045702D" w:rsidP="00481903">
            <w:pPr>
              <w:pStyle w:val="TableText"/>
              <w:spacing w:line="240" w:lineRule="auto"/>
              <w:jc w:val="right"/>
              <w:cnfStyle w:val="000000000000" w:firstRow="0" w:lastRow="0" w:firstColumn="0" w:lastColumn="0" w:oddVBand="0" w:evenVBand="0" w:oddHBand="0" w:evenHBand="0" w:firstRowFirstColumn="0" w:firstRowLastColumn="0" w:lastRowFirstColumn="0" w:lastRowLastColumn="0"/>
              <w:rPr>
                <w:sz w:val="14"/>
                <w:szCs w:val="14"/>
              </w:rPr>
            </w:pPr>
          </w:p>
        </w:tc>
        <w:tc>
          <w:tcPr>
            <w:tcW w:w="1457" w:type="dxa"/>
          </w:tcPr>
          <w:p w14:paraId="70D94C5A" w14:textId="77777777" w:rsidR="0045702D" w:rsidRPr="00481903" w:rsidRDefault="0045702D" w:rsidP="00481903">
            <w:pPr>
              <w:pStyle w:val="TableText"/>
              <w:spacing w:line="240" w:lineRule="auto"/>
              <w:jc w:val="right"/>
              <w:cnfStyle w:val="000000000000" w:firstRow="0" w:lastRow="0" w:firstColumn="0" w:lastColumn="0" w:oddVBand="0" w:evenVBand="0" w:oddHBand="0" w:evenHBand="0" w:firstRowFirstColumn="0" w:firstRowLastColumn="0" w:lastRowFirstColumn="0" w:lastRowLastColumn="0"/>
              <w:rPr>
                <w:sz w:val="14"/>
                <w:szCs w:val="14"/>
              </w:rPr>
            </w:pPr>
          </w:p>
        </w:tc>
        <w:tc>
          <w:tcPr>
            <w:tcW w:w="1457" w:type="dxa"/>
          </w:tcPr>
          <w:p w14:paraId="5B52F9BA" w14:textId="77777777" w:rsidR="0045702D" w:rsidRPr="00481903" w:rsidRDefault="0045702D" w:rsidP="00481903">
            <w:pPr>
              <w:pStyle w:val="TableText"/>
              <w:spacing w:line="240" w:lineRule="auto"/>
              <w:jc w:val="right"/>
              <w:cnfStyle w:val="000000000000" w:firstRow="0" w:lastRow="0" w:firstColumn="0" w:lastColumn="0" w:oddVBand="0" w:evenVBand="0" w:oddHBand="0" w:evenHBand="0" w:firstRowFirstColumn="0" w:firstRowLastColumn="0" w:lastRowFirstColumn="0" w:lastRowLastColumn="0"/>
              <w:rPr>
                <w:sz w:val="14"/>
                <w:szCs w:val="14"/>
              </w:rPr>
            </w:pPr>
          </w:p>
        </w:tc>
        <w:tc>
          <w:tcPr>
            <w:tcW w:w="1457" w:type="dxa"/>
          </w:tcPr>
          <w:p w14:paraId="1943371B" w14:textId="77777777" w:rsidR="0045702D" w:rsidRPr="00481903" w:rsidRDefault="0045702D" w:rsidP="00481903">
            <w:pPr>
              <w:pStyle w:val="TableText"/>
              <w:spacing w:line="240" w:lineRule="auto"/>
              <w:jc w:val="right"/>
              <w:cnfStyle w:val="000000000000" w:firstRow="0" w:lastRow="0" w:firstColumn="0" w:lastColumn="0" w:oddVBand="0" w:evenVBand="0" w:oddHBand="0" w:evenHBand="0" w:firstRowFirstColumn="0" w:firstRowLastColumn="0" w:lastRowFirstColumn="0" w:lastRowLastColumn="0"/>
              <w:rPr>
                <w:sz w:val="14"/>
                <w:szCs w:val="14"/>
              </w:rPr>
            </w:pPr>
          </w:p>
        </w:tc>
      </w:tr>
      <w:tr w:rsidR="0045702D" w:rsidRPr="00481903" w14:paraId="200BF8ED" w14:textId="77777777" w:rsidTr="00362B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6" w:type="dxa"/>
          </w:tcPr>
          <w:p w14:paraId="7F77F2AC" w14:textId="3E0029EA" w:rsidR="0045702D" w:rsidRPr="00481903" w:rsidRDefault="0045702D" w:rsidP="00481903">
            <w:pPr>
              <w:pStyle w:val="TableText"/>
              <w:spacing w:line="240" w:lineRule="auto"/>
              <w:rPr>
                <w:sz w:val="14"/>
                <w:szCs w:val="14"/>
              </w:rPr>
            </w:pPr>
            <w:r w:rsidRPr="00481903">
              <w:rPr>
                <w:sz w:val="14"/>
                <w:szCs w:val="14"/>
              </w:rPr>
              <w:t xml:space="preserve">27 Feb </w:t>
            </w:r>
            <w:r w:rsidR="00FB1B1C">
              <w:rPr>
                <w:sz w:val="14"/>
                <w:szCs w:val="14"/>
              </w:rPr>
              <w:t>22</w:t>
            </w:r>
          </w:p>
        </w:tc>
        <w:tc>
          <w:tcPr>
            <w:tcW w:w="1457" w:type="dxa"/>
          </w:tcPr>
          <w:p w14:paraId="37A5A5D3" w14:textId="1C64FBA7" w:rsidR="0045702D" w:rsidRPr="00481903" w:rsidRDefault="0045702D" w:rsidP="00481903">
            <w:pPr>
              <w:pStyle w:val="TableText"/>
              <w:spacing w:line="240" w:lineRule="auto"/>
              <w:jc w:val="right"/>
              <w:cnfStyle w:val="000000100000" w:firstRow="0" w:lastRow="0" w:firstColumn="0" w:lastColumn="0" w:oddVBand="0" w:evenVBand="0" w:oddHBand="1" w:evenHBand="0" w:firstRowFirstColumn="0" w:firstRowLastColumn="0" w:lastRowFirstColumn="0" w:lastRowLastColumn="0"/>
              <w:rPr>
                <w:sz w:val="14"/>
                <w:szCs w:val="14"/>
              </w:rPr>
            </w:pPr>
            <w:r w:rsidRPr="00481903">
              <w:rPr>
                <w:sz w:val="14"/>
                <w:szCs w:val="14"/>
              </w:rPr>
              <w:t>24,785</w:t>
            </w:r>
          </w:p>
        </w:tc>
        <w:tc>
          <w:tcPr>
            <w:tcW w:w="1457" w:type="dxa"/>
          </w:tcPr>
          <w:p w14:paraId="68D75482" w14:textId="6C2F16D1" w:rsidR="0045702D" w:rsidRPr="00481903" w:rsidRDefault="0045702D" w:rsidP="00481903">
            <w:pPr>
              <w:pStyle w:val="TableText"/>
              <w:spacing w:line="240" w:lineRule="auto"/>
              <w:jc w:val="right"/>
              <w:cnfStyle w:val="000000100000" w:firstRow="0" w:lastRow="0" w:firstColumn="0" w:lastColumn="0" w:oddVBand="0" w:evenVBand="0" w:oddHBand="1" w:evenHBand="0" w:firstRowFirstColumn="0" w:firstRowLastColumn="0" w:lastRowFirstColumn="0" w:lastRowLastColumn="0"/>
              <w:rPr>
                <w:sz w:val="14"/>
                <w:szCs w:val="14"/>
              </w:rPr>
            </w:pPr>
            <w:r w:rsidRPr="00481903">
              <w:rPr>
                <w:sz w:val="14"/>
                <w:szCs w:val="14"/>
              </w:rPr>
              <w:t>80</w:t>
            </w:r>
          </w:p>
        </w:tc>
        <w:tc>
          <w:tcPr>
            <w:tcW w:w="1457" w:type="dxa"/>
          </w:tcPr>
          <w:p w14:paraId="27D1FCA9" w14:textId="77777777" w:rsidR="0045702D" w:rsidRPr="00481903" w:rsidRDefault="0045702D" w:rsidP="00481903">
            <w:pPr>
              <w:pStyle w:val="TableText"/>
              <w:spacing w:line="240" w:lineRule="auto"/>
              <w:jc w:val="right"/>
              <w:cnfStyle w:val="000000100000" w:firstRow="0" w:lastRow="0" w:firstColumn="0" w:lastColumn="0" w:oddVBand="0" w:evenVBand="0" w:oddHBand="1" w:evenHBand="0" w:firstRowFirstColumn="0" w:firstRowLastColumn="0" w:lastRowFirstColumn="0" w:lastRowLastColumn="0"/>
              <w:rPr>
                <w:sz w:val="14"/>
                <w:szCs w:val="14"/>
              </w:rPr>
            </w:pPr>
          </w:p>
        </w:tc>
        <w:tc>
          <w:tcPr>
            <w:tcW w:w="1457" w:type="dxa"/>
          </w:tcPr>
          <w:p w14:paraId="3DD6956B" w14:textId="77777777" w:rsidR="0045702D" w:rsidRPr="00481903" w:rsidRDefault="0045702D" w:rsidP="00481903">
            <w:pPr>
              <w:pStyle w:val="TableText"/>
              <w:spacing w:line="240" w:lineRule="auto"/>
              <w:jc w:val="right"/>
              <w:cnfStyle w:val="000000100000" w:firstRow="0" w:lastRow="0" w:firstColumn="0" w:lastColumn="0" w:oddVBand="0" w:evenVBand="0" w:oddHBand="1" w:evenHBand="0" w:firstRowFirstColumn="0" w:firstRowLastColumn="0" w:lastRowFirstColumn="0" w:lastRowLastColumn="0"/>
              <w:rPr>
                <w:sz w:val="14"/>
                <w:szCs w:val="14"/>
              </w:rPr>
            </w:pPr>
          </w:p>
        </w:tc>
        <w:tc>
          <w:tcPr>
            <w:tcW w:w="1457" w:type="dxa"/>
          </w:tcPr>
          <w:p w14:paraId="6C2F0249" w14:textId="77777777" w:rsidR="0045702D" w:rsidRPr="00481903" w:rsidRDefault="0045702D" w:rsidP="00481903">
            <w:pPr>
              <w:pStyle w:val="TableText"/>
              <w:spacing w:line="240" w:lineRule="auto"/>
              <w:jc w:val="right"/>
              <w:cnfStyle w:val="000000100000" w:firstRow="0" w:lastRow="0" w:firstColumn="0" w:lastColumn="0" w:oddVBand="0" w:evenVBand="0" w:oddHBand="1" w:evenHBand="0" w:firstRowFirstColumn="0" w:firstRowLastColumn="0" w:lastRowFirstColumn="0" w:lastRowLastColumn="0"/>
              <w:rPr>
                <w:sz w:val="14"/>
                <w:szCs w:val="14"/>
              </w:rPr>
            </w:pPr>
          </w:p>
        </w:tc>
        <w:tc>
          <w:tcPr>
            <w:tcW w:w="1457" w:type="dxa"/>
          </w:tcPr>
          <w:p w14:paraId="6277913F" w14:textId="77777777" w:rsidR="0045702D" w:rsidRPr="00481903" w:rsidRDefault="0045702D" w:rsidP="00481903">
            <w:pPr>
              <w:pStyle w:val="TableText"/>
              <w:spacing w:line="240" w:lineRule="auto"/>
              <w:jc w:val="right"/>
              <w:cnfStyle w:val="000000100000" w:firstRow="0" w:lastRow="0" w:firstColumn="0" w:lastColumn="0" w:oddVBand="0" w:evenVBand="0" w:oddHBand="1" w:evenHBand="0" w:firstRowFirstColumn="0" w:firstRowLastColumn="0" w:lastRowFirstColumn="0" w:lastRowLastColumn="0"/>
              <w:rPr>
                <w:sz w:val="14"/>
                <w:szCs w:val="14"/>
              </w:rPr>
            </w:pPr>
          </w:p>
        </w:tc>
      </w:tr>
      <w:tr w:rsidR="0045702D" w:rsidRPr="00481903" w14:paraId="57D484DF" w14:textId="77777777" w:rsidTr="00362BDA">
        <w:tc>
          <w:tcPr>
            <w:cnfStyle w:val="001000000000" w:firstRow="0" w:lastRow="0" w:firstColumn="1" w:lastColumn="0" w:oddVBand="0" w:evenVBand="0" w:oddHBand="0" w:evenHBand="0" w:firstRowFirstColumn="0" w:firstRowLastColumn="0" w:lastRowFirstColumn="0" w:lastRowLastColumn="0"/>
            <w:tcW w:w="1456" w:type="dxa"/>
          </w:tcPr>
          <w:p w14:paraId="0FE4895F" w14:textId="1EE974C2" w:rsidR="0045702D" w:rsidRPr="00481903" w:rsidRDefault="0045702D" w:rsidP="00481903">
            <w:pPr>
              <w:pStyle w:val="TableText"/>
              <w:spacing w:line="240" w:lineRule="auto"/>
              <w:rPr>
                <w:sz w:val="14"/>
                <w:szCs w:val="14"/>
              </w:rPr>
            </w:pPr>
            <w:r w:rsidRPr="00481903">
              <w:rPr>
                <w:sz w:val="14"/>
                <w:szCs w:val="14"/>
              </w:rPr>
              <w:t xml:space="preserve">28 Feb </w:t>
            </w:r>
            <w:r w:rsidR="00FB1B1C">
              <w:rPr>
                <w:sz w:val="14"/>
                <w:szCs w:val="14"/>
              </w:rPr>
              <w:t>22</w:t>
            </w:r>
          </w:p>
        </w:tc>
        <w:tc>
          <w:tcPr>
            <w:tcW w:w="1457" w:type="dxa"/>
          </w:tcPr>
          <w:p w14:paraId="4D76B4E9" w14:textId="612AF1A1" w:rsidR="0045702D" w:rsidRPr="00481903" w:rsidRDefault="0045702D" w:rsidP="00481903">
            <w:pPr>
              <w:pStyle w:val="TableText"/>
              <w:spacing w:line="240" w:lineRule="auto"/>
              <w:jc w:val="right"/>
              <w:cnfStyle w:val="000000000000" w:firstRow="0" w:lastRow="0" w:firstColumn="0" w:lastColumn="0" w:oddVBand="0" w:evenVBand="0" w:oddHBand="0" w:evenHBand="0" w:firstRowFirstColumn="0" w:firstRowLastColumn="0" w:lastRowFirstColumn="0" w:lastRowLastColumn="0"/>
              <w:rPr>
                <w:sz w:val="14"/>
                <w:szCs w:val="14"/>
              </w:rPr>
            </w:pPr>
            <w:r w:rsidRPr="00481903">
              <w:rPr>
                <w:sz w:val="14"/>
                <w:szCs w:val="14"/>
              </w:rPr>
              <w:t>18,572</w:t>
            </w:r>
          </w:p>
        </w:tc>
        <w:tc>
          <w:tcPr>
            <w:tcW w:w="1457" w:type="dxa"/>
          </w:tcPr>
          <w:p w14:paraId="5E073FB6" w14:textId="658B438A" w:rsidR="0045702D" w:rsidRPr="00481903" w:rsidRDefault="0045702D" w:rsidP="00481903">
            <w:pPr>
              <w:pStyle w:val="TableText"/>
              <w:spacing w:line="240" w:lineRule="auto"/>
              <w:jc w:val="right"/>
              <w:cnfStyle w:val="000000000000" w:firstRow="0" w:lastRow="0" w:firstColumn="0" w:lastColumn="0" w:oddVBand="0" w:evenVBand="0" w:oddHBand="0" w:evenHBand="0" w:firstRowFirstColumn="0" w:firstRowLastColumn="0" w:lastRowFirstColumn="0" w:lastRowLastColumn="0"/>
              <w:rPr>
                <w:sz w:val="14"/>
                <w:szCs w:val="14"/>
              </w:rPr>
            </w:pPr>
            <w:r w:rsidRPr="00481903">
              <w:rPr>
                <w:sz w:val="14"/>
                <w:szCs w:val="14"/>
              </w:rPr>
              <w:t>80</w:t>
            </w:r>
          </w:p>
        </w:tc>
        <w:tc>
          <w:tcPr>
            <w:tcW w:w="1457" w:type="dxa"/>
          </w:tcPr>
          <w:p w14:paraId="572406A0" w14:textId="77777777" w:rsidR="0045702D" w:rsidRPr="00481903" w:rsidRDefault="0045702D" w:rsidP="00481903">
            <w:pPr>
              <w:pStyle w:val="TableText"/>
              <w:spacing w:line="240" w:lineRule="auto"/>
              <w:jc w:val="right"/>
              <w:cnfStyle w:val="000000000000" w:firstRow="0" w:lastRow="0" w:firstColumn="0" w:lastColumn="0" w:oddVBand="0" w:evenVBand="0" w:oddHBand="0" w:evenHBand="0" w:firstRowFirstColumn="0" w:firstRowLastColumn="0" w:lastRowFirstColumn="0" w:lastRowLastColumn="0"/>
              <w:rPr>
                <w:sz w:val="14"/>
                <w:szCs w:val="14"/>
              </w:rPr>
            </w:pPr>
          </w:p>
        </w:tc>
        <w:tc>
          <w:tcPr>
            <w:tcW w:w="1457" w:type="dxa"/>
          </w:tcPr>
          <w:p w14:paraId="1C1F1C57" w14:textId="77777777" w:rsidR="0045702D" w:rsidRPr="00481903" w:rsidRDefault="0045702D" w:rsidP="00481903">
            <w:pPr>
              <w:pStyle w:val="TableText"/>
              <w:spacing w:line="240" w:lineRule="auto"/>
              <w:jc w:val="right"/>
              <w:cnfStyle w:val="000000000000" w:firstRow="0" w:lastRow="0" w:firstColumn="0" w:lastColumn="0" w:oddVBand="0" w:evenVBand="0" w:oddHBand="0" w:evenHBand="0" w:firstRowFirstColumn="0" w:firstRowLastColumn="0" w:lastRowFirstColumn="0" w:lastRowLastColumn="0"/>
              <w:rPr>
                <w:sz w:val="14"/>
                <w:szCs w:val="14"/>
              </w:rPr>
            </w:pPr>
          </w:p>
        </w:tc>
        <w:tc>
          <w:tcPr>
            <w:tcW w:w="1457" w:type="dxa"/>
          </w:tcPr>
          <w:p w14:paraId="708F04E1" w14:textId="77777777" w:rsidR="0045702D" w:rsidRPr="00481903" w:rsidRDefault="0045702D" w:rsidP="00481903">
            <w:pPr>
              <w:pStyle w:val="TableText"/>
              <w:spacing w:line="240" w:lineRule="auto"/>
              <w:jc w:val="right"/>
              <w:cnfStyle w:val="000000000000" w:firstRow="0" w:lastRow="0" w:firstColumn="0" w:lastColumn="0" w:oddVBand="0" w:evenVBand="0" w:oddHBand="0" w:evenHBand="0" w:firstRowFirstColumn="0" w:firstRowLastColumn="0" w:lastRowFirstColumn="0" w:lastRowLastColumn="0"/>
              <w:rPr>
                <w:sz w:val="14"/>
                <w:szCs w:val="14"/>
              </w:rPr>
            </w:pPr>
          </w:p>
        </w:tc>
        <w:tc>
          <w:tcPr>
            <w:tcW w:w="1457" w:type="dxa"/>
          </w:tcPr>
          <w:p w14:paraId="39BB0C52" w14:textId="77777777" w:rsidR="0045702D" w:rsidRPr="00481903" w:rsidRDefault="0045702D" w:rsidP="00481903">
            <w:pPr>
              <w:pStyle w:val="TableText"/>
              <w:spacing w:line="240" w:lineRule="auto"/>
              <w:jc w:val="right"/>
              <w:cnfStyle w:val="000000000000" w:firstRow="0" w:lastRow="0" w:firstColumn="0" w:lastColumn="0" w:oddVBand="0" w:evenVBand="0" w:oddHBand="0" w:evenHBand="0" w:firstRowFirstColumn="0" w:firstRowLastColumn="0" w:lastRowFirstColumn="0" w:lastRowLastColumn="0"/>
              <w:rPr>
                <w:sz w:val="14"/>
                <w:szCs w:val="14"/>
              </w:rPr>
            </w:pPr>
          </w:p>
        </w:tc>
      </w:tr>
      <w:tr w:rsidR="0045702D" w:rsidRPr="00481903" w14:paraId="255C0AAC" w14:textId="77777777" w:rsidTr="00362B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6" w:type="dxa"/>
          </w:tcPr>
          <w:p w14:paraId="5B7865FC" w14:textId="25DB2D9B" w:rsidR="0045702D" w:rsidRPr="00481903" w:rsidRDefault="0045702D" w:rsidP="00481903">
            <w:pPr>
              <w:pStyle w:val="TableText"/>
              <w:spacing w:line="240" w:lineRule="auto"/>
              <w:rPr>
                <w:b/>
                <w:bCs/>
                <w:sz w:val="14"/>
                <w:szCs w:val="14"/>
              </w:rPr>
            </w:pPr>
            <w:r w:rsidRPr="00481903">
              <w:rPr>
                <w:b/>
                <w:bCs/>
                <w:sz w:val="14"/>
                <w:szCs w:val="14"/>
              </w:rPr>
              <w:t>Total</w:t>
            </w:r>
          </w:p>
        </w:tc>
        <w:tc>
          <w:tcPr>
            <w:tcW w:w="1457" w:type="dxa"/>
          </w:tcPr>
          <w:p w14:paraId="34ED6DC8" w14:textId="6CCACB73" w:rsidR="0045702D" w:rsidRPr="00481903" w:rsidRDefault="0045702D" w:rsidP="00481903">
            <w:pPr>
              <w:pStyle w:val="TableText"/>
              <w:spacing w:line="240" w:lineRule="auto"/>
              <w:jc w:val="right"/>
              <w:cnfStyle w:val="000000100000" w:firstRow="0" w:lastRow="0" w:firstColumn="0" w:lastColumn="0" w:oddVBand="0" w:evenVBand="0" w:oddHBand="1" w:evenHBand="0" w:firstRowFirstColumn="0" w:firstRowLastColumn="0" w:lastRowFirstColumn="0" w:lastRowLastColumn="0"/>
              <w:rPr>
                <w:b/>
                <w:bCs/>
                <w:sz w:val="14"/>
                <w:szCs w:val="14"/>
              </w:rPr>
            </w:pPr>
            <w:r w:rsidRPr="00481903">
              <w:rPr>
                <w:b/>
                <w:bCs/>
                <w:sz w:val="14"/>
                <w:szCs w:val="14"/>
              </w:rPr>
              <w:t>590,875</w:t>
            </w:r>
          </w:p>
        </w:tc>
        <w:tc>
          <w:tcPr>
            <w:tcW w:w="1457" w:type="dxa"/>
          </w:tcPr>
          <w:p w14:paraId="13996774" w14:textId="77777777" w:rsidR="0045702D" w:rsidRPr="00481903" w:rsidRDefault="0045702D" w:rsidP="00481903">
            <w:pPr>
              <w:pStyle w:val="TableText"/>
              <w:spacing w:line="240" w:lineRule="auto"/>
              <w:jc w:val="right"/>
              <w:cnfStyle w:val="000000100000" w:firstRow="0" w:lastRow="0" w:firstColumn="0" w:lastColumn="0" w:oddVBand="0" w:evenVBand="0" w:oddHBand="1" w:evenHBand="0" w:firstRowFirstColumn="0" w:firstRowLastColumn="0" w:lastRowFirstColumn="0" w:lastRowLastColumn="0"/>
              <w:rPr>
                <w:b/>
                <w:bCs/>
                <w:sz w:val="14"/>
                <w:szCs w:val="14"/>
              </w:rPr>
            </w:pPr>
          </w:p>
        </w:tc>
        <w:tc>
          <w:tcPr>
            <w:tcW w:w="1457" w:type="dxa"/>
          </w:tcPr>
          <w:p w14:paraId="7F227FCA" w14:textId="2AAAE977" w:rsidR="0045702D" w:rsidRPr="00481903" w:rsidRDefault="0045702D" w:rsidP="00481903">
            <w:pPr>
              <w:pStyle w:val="TableText"/>
              <w:spacing w:line="240" w:lineRule="auto"/>
              <w:jc w:val="right"/>
              <w:cnfStyle w:val="000000100000" w:firstRow="0" w:lastRow="0" w:firstColumn="0" w:lastColumn="0" w:oddVBand="0" w:evenVBand="0" w:oddHBand="1" w:evenHBand="0" w:firstRowFirstColumn="0" w:firstRowLastColumn="0" w:lastRowFirstColumn="0" w:lastRowLastColumn="0"/>
              <w:rPr>
                <w:b/>
                <w:bCs/>
                <w:sz w:val="14"/>
                <w:szCs w:val="14"/>
              </w:rPr>
            </w:pPr>
            <w:r w:rsidRPr="00481903">
              <w:rPr>
                <w:b/>
                <w:bCs/>
                <w:sz w:val="14"/>
                <w:szCs w:val="14"/>
              </w:rPr>
              <w:t>80</w:t>
            </w:r>
          </w:p>
        </w:tc>
        <w:tc>
          <w:tcPr>
            <w:tcW w:w="1457" w:type="dxa"/>
          </w:tcPr>
          <w:p w14:paraId="698D607E" w14:textId="366805A0" w:rsidR="0045702D" w:rsidRPr="00481903" w:rsidRDefault="0045702D" w:rsidP="00481903">
            <w:pPr>
              <w:pStyle w:val="TableText"/>
              <w:spacing w:line="240" w:lineRule="auto"/>
              <w:jc w:val="right"/>
              <w:cnfStyle w:val="000000100000" w:firstRow="0" w:lastRow="0" w:firstColumn="0" w:lastColumn="0" w:oddVBand="0" w:evenVBand="0" w:oddHBand="1" w:evenHBand="0" w:firstRowFirstColumn="0" w:firstRowLastColumn="0" w:lastRowFirstColumn="0" w:lastRowLastColumn="0"/>
              <w:rPr>
                <w:b/>
                <w:bCs/>
                <w:sz w:val="14"/>
                <w:szCs w:val="14"/>
              </w:rPr>
            </w:pPr>
            <w:r w:rsidRPr="00481903">
              <w:rPr>
                <w:b/>
                <w:bCs/>
                <w:sz w:val="14"/>
                <w:szCs w:val="14"/>
              </w:rPr>
              <w:t>7,385.94</w:t>
            </w:r>
          </w:p>
        </w:tc>
        <w:tc>
          <w:tcPr>
            <w:tcW w:w="1457" w:type="dxa"/>
          </w:tcPr>
          <w:p w14:paraId="6FBBA234" w14:textId="3F9BE4D2" w:rsidR="0045702D" w:rsidRPr="00481903" w:rsidRDefault="0045702D" w:rsidP="00481903">
            <w:pPr>
              <w:pStyle w:val="TableText"/>
              <w:spacing w:line="240" w:lineRule="auto"/>
              <w:jc w:val="right"/>
              <w:cnfStyle w:val="000000100000" w:firstRow="0" w:lastRow="0" w:firstColumn="0" w:lastColumn="0" w:oddVBand="0" w:evenVBand="0" w:oddHBand="1" w:evenHBand="0" w:firstRowFirstColumn="0" w:firstRowLastColumn="0" w:lastRowFirstColumn="0" w:lastRowLastColumn="0"/>
              <w:rPr>
                <w:b/>
                <w:bCs/>
                <w:sz w:val="14"/>
                <w:szCs w:val="14"/>
              </w:rPr>
            </w:pPr>
            <w:r w:rsidRPr="00481903">
              <w:rPr>
                <w:b/>
                <w:bCs/>
                <w:sz w:val="14"/>
                <w:szCs w:val="14"/>
              </w:rPr>
              <w:t>2,204.21</w:t>
            </w:r>
          </w:p>
        </w:tc>
        <w:tc>
          <w:tcPr>
            <w:tcW w:w="1457" w:type="dxa"/>
          </w:tcPr>
          <w:p w14:paraId="0C4A9C54" w14:textId="2048EA23" w:rsidR="0045702D" w:rsidRPr="00481903" w:rsidRDefault="0045702D" w:rsidP="00481903">
            <w:pPr>
              <w:pStyle w:val="TableText"/>
              <w:spacing w:line="240" w:lineRule="auto"/>
              <w:jc w:val="right"/>
              <w:cnfStyle w:val="000000100000" w:firstRow="0" w:lastRow="0" w:firstColumn="0" w:lastColumn="0" w:oddVBand="0" w:evenVBand="0" w:oddHBand="1" w:evenHBand="0" w:firstRowFirstColumn="0" w:firstRowLastColumn="0" w:lastRowFirstColumn="0" w:lastRowLastColumn="0"/>
              <w:rPr>
                <w:b/>
                <w:bCs/>
                <w:sz w:val="14"/>
                <w:szCs w:val="14"/>
              </w:rPr>
            </w:pPr>
            <w:r w:rsidRPr="00481903">
              <w:rPr>
                <w:b/>
                <w:bCs/>
                <w:sz w:val="14"/>
                <w:szCs w:val="14"/>
              </w:rPr>
              <w:t>176,336.87</w:t>
            </w:r>
          </w:p>
        </w:tc>
      </w:tr>
    </w:tbl>
    <w:p w14:paraId="79082C54" w14:textId="49747B50" w:rsidR="00362BDA" w:rsidRDefault="00B72239" w:rsidP="00B72239">
      <w:pPr>
        <w:pStyle w:val="Heading1"/>
        <w:numPr>
          <w:ilvl w:val="0"/>
          <w:numId w:val="0"/>
        </w:numPr>
        <w:ind w:left="720" w:hanging="720"/>
        <w:rPr>
          <w:lang w:val="en-AU"/>
        </w:rPr>
      </w:pPr>
      <w:bookmarkStart w:id="51" w:name="_Toc114465585"/>
      <w:r>
        <w:rPr>
          <w:lang w:val="en-AU"/>
        </w:rPr>
        <w:lastRenderedPageBreak/>
        <w:t>A</w:t>
      </w:r>
      <w:r w:rsidR="00FB1B1C">
        <w:rPr>
          <w:lang w:val="en-AU"/>
        </w:rPr>
        <w:t>ppendix</w:t>
      </w:r>
      <w:r>
        <w:rPr>
          <w:lang w:val="en-AU"/>
        </w:rPr>
        <w:t xml:space="preserve"> 4</w:t>
      </w:r>
      <w:bookmarkEnd w:id="51"/>
    </w:p>
    <w:p w14:paraId="0CF830DB" w14:textId="53308797" w:rsidR="00B72239" w:rsidRDefault="00B72239" w:rsidP="00B72239">
      <w:pPr>
        <w:pStyle w:val="Heading2"/>
        <w:numPr>
          <w:ilvl w:val="0"/>
          <w:numId w:val="0"/>
        </w:numPr>
        <w:ind w:left="576" w:hanging="576"/>
        <w:rPr>
          <w:lang w:val="en-AU"/>
        </w:rPr>
      </w:pPr>
      <w:bookmarkStart w:id="52" w:name="_Toc113880180"/>
      <w:bookmarkStart w:id="53" w:name="_Toc114465586"/>
      <w:r>
        <w:rPr>
          <w:lang w:val="en-AU"/>
        </w:rPr>
        <w:t>Suggested linked jackpot arrangement monitoring tools</w:t>
      </w:r>
      <w:bookmarkEnd w:id="52"/>
      <w:bookmarkEnd w:id="53"/>
    </w:p>
    <w:p w14:paraId="07CE858C" w14:textId="7BFF5EB6" w:rsidR="00B72239" w:rsidRDefault="00B72239" w:rsidP="00B72239">
      <w:pPr>
        <w:pStyle w:val="TableLabel"/>
      </w:pPr>
      <w:r>
        <w:t>Table 1: Jackpot contribution verification</w:t>
      </w:r>
    </w:p>
    <w:p w14:paraId="0EE16EF2" w14:textId="38E81B3C" w:rsidR="00B72239" w:rsidRDefault="00B72239" w:rsidP="0081733D">
      <w:pPr>
        <w:rPr>
          <w:lang w:val="en-AU"/>
        </w:rPr>
      </w:pPr>
      <w:r>
        <w:rPr>
          <w:lang w:val="en-AU"/>
        </w:rPr>
        <w:t xml:space="preserve">Suggested table to help validate jackpot contributions being </w:t>
      </w:r>
      <w:r w:rsidR="00034A7E">
        <w:rPr>
          <w:lang w:val="en-AU"/>
        </w:rPr>
        <w:t>dedicated</w:t>
      </w:r>
      <w:r>
        <w:rPr>
          <w:lang w:val="en-AU"/>
        </w:rPr>
        <w:t xml:space="preserve"> from gaming revenue and accumulated to individual </w:t>
      </w:r>
      <w:r w:rsidR="00034A7E">
        <w:rPr>
          <w:lang w:val="en-AU"/>
        </w:rPr>
        <w:t>jackpot</w:t>
      </w:r>
      <w:r>
        <w:rPr>
          <w:lang w:val="en-AU"/>
        </w:rPr>
        <w:t xml:space="preserve"> pools.</w:t>
      </w:r>
    </w:p>
    <w:tbl>
      <w:tblPr>
        <w:tblStyle w:val="TableGrid"/>
        <w:tblW w:w="0" w:type="auto"/>
        <w:tblLook w:val="04A0" w:firstRow="1" w:lastRow="0" w:firstColumn="1" w:lastColumn="0" w:noHBand="0" w:noVBand="1"/>
      </w:tblPr>
      <w:tblGrid>
        <w:gridCol w:w="1456"/>
        <w:gridCol w:w="1457"/>
        <w:gridCol w:w="1457"/>
        <w:gridCol w:w="1457"/>
        <w:gridCol w:w="1457"/>
        <w:gridCol w:w="1457"/>
        <w:gridCol w:w="1457"/>
      </w:tblGrid>
      <w:tr w:rsidR="00B72239" w14:paraId="5B5670D1" w14:textId="77777777" w:rsidTr="00B7223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6" w:type="dxa"/>
          </w:tcPr>
          <w:p w14:paraId="2B2426DE" w14:textId="1A6EB139" w:rsidR="00B72239" w:rsidRDefault="00E57A12" w:rsidP="00E57A12">
            <w:pPr>
              <w:pStyle w:val="TableHeader"/>
            </w:pPr>
            <w:r>
              <w:t>Date</w:t>
            </w:r>
          </w:p>
        </w:tc>
        <w:tc>
          <w:tcPr>
            <w:tcW w:w="1457" w:type="dxa"/>
          </w:tcPr>
          <w:p w14:paraId="24F3CD9E" w14:textId="0DBD10F1" w:rsidR="00B72239" w:rsidRDefault="00E57A12" w:rsidP="00E57A12">
            <w:pPr>
              <w:pStyle w:val="TableHeader"/>
              <w:cnfStyle w:val="100000000000" w:firstRow="1" w:lastRow="0" w:firstColumn="0" w:lastColumn="0" w:oddVBand="0" w:evenVBand="0" w:oddHBand="0" w:evenHBand="0" w:firstRowFirstColumn="0" w:firstRowLastColumn="0" w:lastRowFirstColumn="0" w:lastRowLastColumn="0"/>
            </w:pPr>
            <w:r>
              <w:t>EGM position</w:t>
            </w:r>
          </w:p>
        </w:tc>
        <w:tc>
          <w:tcPr>
            <w:tcW w:w="1457" w:type="dxa"/>
          </w:tcPr>
          <w:p w14:paraId="3823FE5D" w14:textId="78935A23" w:rsidR="00B72239" w:rsidRDefault="00E57A12" w:rsidP="00E57A12">
            <w:pPr>
              <w:pStyle w:val="TableHeader"/>
              <w:cnfStyle w:val="100000000000" w:firstRow="1" w:lastRow="0" w:firstColumn="0" w:lastColumn="0" w:oddVBand="0" w:evenVBand="0" w:oddHBand="0" w:evenHBand="0" w:firstRowFirstColumn="0" w:firstRowLastColumn="0" w:lastRowFirstColumn="0" w:lastRowLastColumn="0"/>
            </w:pPr>
            <w:r>
              <w:t>Turnover</w:t>
            </w:r>
          </w:p>
        </w:tc>
        <w:tc>
          <w:tcPr>
            <w:tcW w:w="1457" w:type="dxa"/>
          </w:tcPr>
          <w:p w14:paraId="57E21910" w14:textId="370439D3" w:rsidR="00B72239" w:rsidRDefault="00E57A12" w:rsidP="00E57A12">
            <w:pPr>
              <w:pStyle w:val="TableHeader"/>
              <w:cnfStyle w:val="100000000000" w:firstRow="1" w:lastRow="0" w:firstColumn="0" w:lastColumn="0" w:oddVBand="0" w:evenVBand="0" w:oddHBand="0" w:evenHBand="0" w:firstRowFirstColumn="0" w:firstRowLastColumn="0" w:lastRowFirstColumn="0" w:lastRowLastColumn="0"/>
            </w:pPr>
            <w:r>
              <w:t>Contribute rate</w:t>
            </w:r>
          </w:p>
        </w:tc>
        <w:tc>
          <w:tcPr>
            <w:tcW w:w="1457" w:type="dxa"/>
          </w:tcPr>
          <w:p w14:paraId="17E86E81" w14:textId="63B1BAF9" w:rsidR="00B72239" w:rsidRDefault="00E57A12" w:rsidP="00E57A12">
            <w:pPr>
              <w:pStyle w:val="TableHeader"/>
              <w:cnfStyle w:val="100000000000" w:firstRow="1" w:lastRow="0" w:firstColumn="0" w:lastColumn="0" w:oddVBand="0" w:evenVBand="0" w:oddHBand="0" w:evenHBand="0" w:firstRowFirstColumn="0" w:firstRowLastColumn="0" w:lastRowFirstColumn="0" w:lastRowLastColumn="0"/>
            </w:pPr>
            <w:r>
              <w:t>Calculated jackpot contribution</w:t>
            </w:r>
          </w:p>
        </w:tc>
        <w:tc>
          <w:tcPr>
            <w:tcW w:w="1457" w:type="dxa"/>
          </w:tcPr>
          <w:p w14:paraId="4AE40FB9" w14:textId="6405A723" w:rsidR="00B72239" w:rsidRDefault="00E57A12" w:rsidP="00E57A12">
            <w:pPr>
              <w:pStyle w:val="TableHeader"/>
              <w:cnfStyle w:val="100000000000" w:firstRow="1" w:lastRow="0" w:firstColumn="0" w:lastColumn="0" w:oddVBand="0" w:evenVBand="0" w:oddHBand="0" w:evenHBand="0" w:firstRowFirstColumn="0" w:firstRowLastColumn="0" w:lastRowFirstColumn="0" w:lastRowLastColumn="0"/>
            </w:pPr>
            <w:r>
              <w:t>Reported jackpot contribution</w:t>
            </w:r>
          </w:p>
        </w:tc>
        <w:tc>
          <w:tcPr>
            <w:tcW w:w="1457" w:type="dxa"/>
          </w:tcPr>
          <w:p w14:paraId="2A3C0346" w14:textId="7D220DBD" w:rsidR="00B72239" w:rsidRDefault="00E57A12" w:rsidP="00E57A12">
            <w:pPr>
              <w:pStyle w:val="TableHeader"/>
              <w:cnfStyle w:val="100000000000" w:firstRow="1" w:lastRow="0" w:firstColumn="0" w:lastColumn="0" w:oddVBand="0" w:evenVBand="0" w:oddHBand="0" w:evenHBand="0" w:firstRowFirstColumn="0" w:firstRowLastColumn="0" w:lastRowFirstColumn="0" w:lastRowLastColumn="0"/>
            </w:pPr>
            <w:r>
              <w:t>Variance</w:t>
            </w:r>
          </w:p>
        </w:tc>
      </w:tr>
      <w:tr w:rsidR="00B72239" w14:paraId="39C6BAE4" w14:textId="77777777" w:rsidTr="00B722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6" w:type="dxa"/>
          </w:tcPr>
          <w:p w14:paraId="1E32DA58" w14:textId="0508BDBC" w:rsidR="00B72239" w:rsidRDefault="00E57A12" w:rsidP="00E57A12">
            <w:pPr>
              <w:pStyle w:val="TableText"/>
            </w:pPr>
            <w:r>
              <w:t xml:space="preserve">1 Feb </w:t>
            </w:r>
            <w:r w:rsidR="00FB1B1C">
              <w:t>22</w:t>
            </w:r>
          </w:p>
        </w:tc>
        <w:tc>
          <w:tcPr>
            <w:tcW w:w="1457" w:type="dxa"/>
          </w:tcPr>
          <w:p w14:paraId="1FEF2256" w14:textId="0240B6A1" w:rsidR="00B72239" w:rsidRDefault="00E57A12" w:rsidP="00E57A12">
            <w:pPr>
              <w:pStyle w:val="TableText"/>
              <w:cnfStyle w:val="000000100000" w:firstRow="0" w:lastRow="0" w:firstColumn="0" w:lastColumn="0" w:oddVBand="0" w:evenVBand="0" w:oddHBand="1" w:evenHBand="0" w:firstRowFirstColumn="0" w:firstRowLastColumn="0" w:lastRowFirstColumn="0" w:lastRowLastColumn="0"/>
            </w:pPr>
            <w:r>
              <w:t>1</w:t>
            </w:r>
          </w:p>
        </w:tc>
        <w:tc>
          <w:tcPr>
            <w:tcW w:w="1457" w:type="dxa"/>
          </w:tcPr>
          <w:p w14:paraId="3404F1D8" w14:textId="23EBA4D6" w:rsidR="00E57A12" w:rsidRDefault="00E57A12" w:rsidP="00E57A12">
            <w:pPr>
              <w:pStyle w:val="TableText"/>
              <w:cnfStyle w:val="000000100000" w:firstRow="0" w:lastRow="0" w:firstColumn="0" w:lastColumn="0" w:oddVBand="0" w:evenVBand="0" w:oddHBand="1" w:evenHBand="0" w:firstRowFirstColumn="0" w:firstRowLastColumn="0" w:lastRowFirstColumn="0" w:lastRowLastColumn="0"/>
            </w:pPr>
            <w:r>
              <w:t>5,000</w:t>
            </w:r>
          </w:p>
        </w:tc>
        <w:tc>
          <w:tcPr>
            <w:tcW w:w="1457" w:type="dxa"/>
          </w:tcPr>
          <w:p w14:paraId="3CBEB294" w14:textId="6071B32A" w:rsidR="00B72239" w:rsidRDefault="00E57A12" w:rsidP="00E57A12">
            <w:pPr>
              <w:pStyle w:val="TableText"/>
              <w:cnfStyle w:val="000000100000" w:firstRow="0" w:lastRow="0" w:firstColumn="0" w:lastColumn="0" w:oddVBand="0" w:evenVBand="0" w:oddHBand="1" w:evenHBand="0" w:firstRowFirstColumn="0" w:firstRowLastColumn="0" w:lastRowFirstColumn="0" w:lastRowLastColumn="0"/>
            </w:pPr>
            <w:r>
              <w:t>7%</w:t>
            </w:r>
          </w:p>
        </w:tc>
        <w:tc>
          <w:tcPr>
            <w:tcW w:w="1457" w:type="dxa"/>
          </w:tcPr>
          <w:p w14:paraId="7AD599B3" w14:textId="404EABF0" w:rsidR="00E57A12" w:rsidRDefault="00E57A12" w:rsidP="00E57A12">
            <w:pPr>
              <w:pStyle w:val="TableText"/>
              <w:cnfStyle w:val="000000100000" w:firstRow="0" w:lastRow="0" w:firstColumn="0" w:lastColumn="0" w:oddVBand="0" w:evenVBand="0" w:oddHBand="1" w:evenHBand="0" w:firstRowFirstColumn="0" w:firstRowLastColumn="0" w:lastRowFirstColumn="0" w:lastRowLastColumn="0"/>
            </w:pPr>
            <w:r>
              <w:t>350</w:t>
            </w:r>
          </w:p>
        </w:tc>
        <w:tc>
          <w:tcPr>
            <w:tcW w:w="1457" w:type="dxa"/>
          </w:tcPr>
          <w:p w14:paraId="6F76623C" w14:textId="1DA80222" w:rsidR="00B72239" w:rsidRDefault="00E57A12" w:rsidP="00E57A12">
            <w:pPr>
              <w:pStyle w:val="TableText"/>
              <w:cnfStyle w:val="000000100000" w:firstRow="0" w:lastRow="0" w:firstColumn="0" w:lastColumn="0" w:oddVBand="0" w:evenVBand="0" w:oddHBand="1" w:evenHBand="0" w:firstRowFirstColumn="0" w:firstRowLastColumn="0" w:lastRowFirstColumn="0" w:lastRowLastColumn="0"/>
            </w:pPr>
            <w:r>
              <w:t>350</w:t>
            </w:r>
          </w:p>
        </w:tc>
        <w:tc>
          <w:tcPr>
            <w:tcW w:w="1457" w:type="dxa"/>
          </w:tcPr>
          <w:p w14:paraId="2BA37B87" w14:textId="77777777" w:rsidR="00B72239" w:rsidRDefault="00B72239" w:rsidP="00E57A12">
            <w:pPr>
              <w:pStyle w:val="TableText"/>
              <w:cnfStyle w:val="000000100000" w:firstRow="0" w:lastRow="0" w:firstColumn="0" w:lastColumn="0" w:oddVBand="0" w:evenVBand="0" w:oddHBand="1" w:evenHBand="0" w:firstRowFirstColumn="0" w:firstRowLastColumn="0" w:lastRowFirstColumn="0" w:lastRowLastColumn="0"/>
            </w:pPr>
          </w:p>
        </w:tc>
      </w:tr>
      <w:tr w:rsidR="00E57A12" w14:paraId="22CBDF42" w14:textId="77777777" w:rsidTr="00B72239">
        <w:tc>
          <w:tcPr>
            <w:cnfStyle w:val="001000000000" w:firstRow="0" w:lastRow="0" w:firstColumn="1" w:lastColumn="0" w:oddVBand="0" w:evenVBand="0" w:oddHBand="0" w:evenHBand="0" w:firstRowFirstColumn="0" w:firstRowLastColumn="0" w:lastRowFirstColumn="0" w:lastRowLastColumn="0"/>
            <w:tcW w:w="1456" w:type="dxa"/>
          </w:tcPr>
          <w:p w14:paraId="79EFABFE" w14:textId="77777777" w:rsidR="00E57A12" w:rsidRDefault="00E57A12" w:rsidP="00E57A12">
            <w:pPr>
              <w:pStyle w:val="TableText"/>
            </w:pPr>
          </w:p>
        </w:tc>
        <w:tc>
          <w:tcPr>
            <w:tcW w:w="1457" w:type="dxa"/>
          </w:tcPr>
          <w:p w14:paraId="7AA62C7A" w14:textId="07AAF531" w:rsidR="00E57A12" w:rsidRDefault="00E57A12" w:rsidP="00E57A12">
            <w:pPr>
              <w:pStyle w:val="TableText"/>
              <w:cnfStyle w:val="000000000000" w:firstRow="0" w:lastRow="0" w:firstColumn="0" w:lastColumn="0" w:oddVBand="0" w:evenVBand="0" w:oddHBand="0" w:evenHBand="0" w:firstRowFirstColumn="0" w:firstRowLastColumn="0" w:lastRowFirstColumn="0" w:lastRowLastColumn="0"/>
            </w:pPr>
            <w:r>
              <w:t>2</w:t>
            </w:r>
          </w:p>
        </w:tc>
        <w:tc>
          <w:tcPr>
            <w:tcW w:w="1457" w:type="dxa"/>
          </w:tcPr>
          <w:p w14:paraId="5405323D" w14:textId="2D575927" w:rsidR="00E57A12" w:rsidRDefault="00E57A12" w:rsidP="00E57A12">
            <w:pPr>
              <w:pStyle w:val="TableText"/>
              <w:cnfStyle w:val="000000000000" w:firstRow="0" w:lastRow="0" w:firstColumn="0" w:lastColumn="0" w:oddVBand="0" w:evenVBand="0" w:oddHBand="0" w:evenHBand="0" w:firstRowFirstColumn="0" w:firstRowLastColumn="0" w:lastRowFirstColumn="0" w:lastRowLastColumn="0"/>
            </w:pPr>
            <w:r>
              <w:t>4,800</w:t>
            </w:r>
          </w:p>
        </w:tc>
        <w:tc>
          <w:tcPr>
            <w:tcW w:w="1457" w:type="dxa"/>
          </w:tcPr>
          <w:p w14:paraId="666539FB" w14:textId="03AFA190" w:rsidR="00E57A12" w:rsidRDefault="00E57A12" w:rsidP="00E57A12">
            <w:pPr>
              <w:pStyle w:val="TableText"/>
              <w:cnfStyle w:val="000000000000" w:firstRow="0" w:lastRow="0" w:firstColumn="0" w:lastColumn="0" w:oddVBand="0" w:evenVBand="0" w:oddHBand="0" w:evenHBand="0" w:firstRowFirstColumn="0" w:firstRowLastColumn="0" w:lastRowFirstColumn="0" w:lastRowLastColumn="0"/>
            </w:pPr>
            <w:r>
              <w:t>7%</w:t>
            </w:r>
          </w:p>
        </w:tc>
        <w:tc>
          <w:tcPr>
            <w:tcW w:w="1457" w:type="dxa"/>
          </w:tcPr>
          <w:p w14:paraId="546E3AA2" w14:textId="34522D6D" w:rsidR="00E57A12" w:rsidRDefault="00E57A12" w:rsidP="00E57A12">
            <w:pPr>
              <w:pStyle w:val="TableText"/>
              <w:cnfStyle w:val="000000000000" w:firstRow="0" w:lastRow="0" w:firstColumn="0" w:lastColumn="0" w:oddVBand="0" w:evenVBand="0" w:oddHBand="0" w:evenHBand="0" w:firstRowFirstColumn="0" w:firstRowLastColumn="0" w:lastRowFirstColumn="0" w:lastRowLastColumn="0"/>
            </w:pPr>
            <w:r>
              <w:t>336</w:t>
            </w:r>
          </w:p>
        </w:tc>
        <w:tc>
          <w:tcPr>
            <w:tcW w:w="1457" w:type="dxa"/>
          </w:tcPr>
          <w:p w14:paraId="23CC3AA3" w14:textId="7EC88038" w:rsidR="00E57A12" w:rsidRDefault="00E57A12" w:rsidP="00E57A12">
            <w:pPr>
              <w:pStyle w:val="TableText"/>
              <w:cnfStyle w:val="000000000000" w:firstRow="0" w:lastRow="0" w:firstColumn="0" w:lastColumn="0" w:oddVBand="0" w:evenVBand="0" w:oddHBand="0" w:evenHBand="0" w:firstRowFirstColumn="0" w:firstRowLastColumn="0" w:lastRowFirstColumn="0" w:lastRowLastColumn="0"/>
            </w:pPr>
            <w:r>
              <w:t>336</w:t>
            </w:r>
          </w:p>
        </w:tc>
        <w:tc>
          <w:tcPr>
            <w:tcW w:w="1457" w:type="dxa"/>
          </w:tcPr>
          <w:p w14:paraId="6CF23443" w14:textId="77777777" w:rsidR="00E57A12" w:rsidRDefault="00E57A12" w:rsidP="00E57A12">
            <w:pPr>
              <w:pStyle w:val="TableText"/>
              <w:cnfStyle w:val="000000000000" w:firstRow="0" w:lastRow="0" w:firstColumn="0" w:lastColumn="0" w:oddVBand="0" w:evenVBand="0" w:oddHBand="0" w:evenHBand="0" w:firstRowFirstColumn="0" w:firstRowLastColumn="0" w:lastRowFirstColumn="0" w:lastRowLastColumn="0"/>
            </w:pPr>
          </w:p>
        </w:tc>
      </w:tr>
      <w:tr w:rsidR="00E57A12" w14:paraId="4CCB271B" w14:textId="77777777" w:rsidTr="00B722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6" w:type="dxa"/>
          </w:tcPr>
          <w:p w14:paraId="19BD7100" w14:textId="77777777" w:rsidR="00E57A12" w:rsidRDefault="00E57A12" w:rsidP="00E57A12">
            <w:pPr>
              <w:pStyle w:val="TableText"/>
            </w:pPr>
          </w:p>
        </w:tc>
        <w:tc>
          <w:tcPr>
            <w:tcW w:w="1457" w:type="dxa"/>
          </w:tcPr>
          <w:p w14:paraId="13A4BA1C" w14:textId="448CFCD8" w:rsidR="00E57A12" w:rsidRDefault="00E57A12" w:rsidP="00E57A12">
            <w:pPr>
              <w:pStyle w:val="TableText"/>
              <w:cnfStyle w:val="000000100000" w:firstRow="0" w:lastRow="0" w:firstColumn="0" w:lastColumn="0" w:oddVBand="0" w:evenVBand="0" w:oddHBand="1" w:evenHBand="0" w:firstRowFirstColumn="0" w:firstRowLastColumn="0" w:lastRowFirstColumn="0" w:lastRowLastColumn="0"/>
            </w:pPr>
            <w:r>
              <w:t>3</w:t>
            </w:r>
          </w:p>
        </w:tc>
        <w:tc>
          <w:tcPr>
            <w:tcW w:w="1457" w:type="dxa"/>
          </w:tcPr>
          <w:p w14:paraId="318484FC" w14:textId="693332CE" w:rsidR="00E57A12" w:rsidRDefault="00E57A12" w:rsidP="00E57A12">
            <w:pPr>
              <w:pStyle w:val="TableText"/>
              <w:cnfStyle w:val="000000100000" w:firstRow="0" w:lastRow="0" w:firstColumn="0" w:lastColumn="0" w:oddVBand="0" w:evenVBand="0" w:oddHBand="1" w:evenHBand="0" w:firstRowFirstColumn="0" w:firstRowLastColumn="0" w:lastRowFirstColumn="0" w:lastRowLastColumn="0"/>
            </w:pPr>
            <w:r>
              <w:t>2,500</w:t>
            </w:r>
          </w:p>
        </w:tc>
        <w:tc>
          <w:tcPr>
            <w:tcW w:w="1457" w:type="dxa"/>
          </w:tcPr>
          <w:p w14:paraId="43EE95F5" w14:textId="3B8C43D0" w:rsidR="00E57A12" w:rsidRDefault="00E57A12" w:rsidP="00E57A12">
            <w:pPr>
              <w:pStyle w:val="TableText"/>
              <w:cnfStyle w:val="000000100000" w:firstRow="0" w:lastRow="0" w:firstColumn="0" w:lastColumn="0" w:oddVBand="0" w:evenVBand="0" w:oddHBand="1" w:evenHBand="0" w:firstRowFirstColumn="0" w:firstRowLastColumn="0" w:lastRowFirstColumn="0" w:lastRowLastColumn="0"/>
            </w:pPr>
            <w:r>
              <w:t>7%</w:t>
            </w:r>
          </w:p>
        </w:tc>
        <w:tc>
          <w:tcPr>
            <w:tcW w:w="1457" w:type="dxa"/>
          </w:tcPr>
          <w:p w14:paraId="32FBACC0" w14:textId="0E8DD012" w:rsidR="00E57A12" w:rsidRDefault="00E57A12" w:rsidP="00E57A12">
            <w:pPr>
              <w:pStyle w:val="TableText"/>
              <w:cnfStyle w:val="000000100000" w:firstRow="0" w:lastRow="0" w:firstColumn="0" w:lastColumn="0" w:oddVBand="0" w:evenVBand="0" w:oddHBand="1" w:evenHBand="0" w:firstRowFirstColumn="0" w:firstRowLastColumn="0" w:lastRowFirstColumn="0" w:lastRowLastColumn="0"/>
            </w:pPr>
            <w:r>
              <w:t>175</w:t>
            </w:r>
          </w:p>
        </w:tc>
        <w:tc>
          <w:tcPr>
            <w:tcW w:w="1457" w:type="dxa"/>
          </w:tcPr>
          <w:p w14:paraId="7C1F05EE" w14:textId="49302125" w:rsidR="00E57A12" w:rsidRDefault="00E57A12" w:rsidP="00E57A12">
            <w:pPr>
              <w:pStyle w:val="TableText"/>
              <w:cnfStyle w:val="000000100000" w:firstRow="0" w:lastRow="0" w:firstColumn="0" w:lastColumn="0" w:oddVBand="0" w:evenVBand="0" w:oddHBand="1" w:evenHBand="0" w:firstRowFirstColumn="0" w:firstRowLastColumn="0" w:lastRowFirstColumn="0" w:lastRowLastColumn="0"/>
            </w:pPr>
            <w:r>
              <w:t>175</w:t>
            </w:r>
          </w:p>
        </w:tc>
        <w:tc>
          <w:tcPr>
            <w:tcW w:w="1457" w:type="dxa"/>
          </w:tcPr>
          <w:p w14:paraId="4D3386E7" w14:textId="77777777" w:rsidR="00E57A12" w:rsidRDefault="00E57A12" w:rsidP="00E57A12">
            <w:pPr>
              <w:pStyle w:val="TableText"/>
              <w:cnfStyle w:val="000000100000" w:firstRow="0" w:lastRow="0" w:firstColumn="0" w:lastColumn="0" w:oddVBand="0" w:evenVBand="0" w:oddHBand="1" w:evenHBand="0" w:firstRowFirstColumn="0" w:firstRowLastColumn="0" w:lastRowFirstColumn="0" w:lastRowLastColumn="0"/>
            </w:pPr>
          </w:p>
        </w:tc>
      </w:tr>
      <w:tr w:rsidR="00E57A12" w14:paraId="3B4E8EC6" w14:textId="77777777" w:rsidTr="00B72239">
        <w:tc>
          <w:tcPr>
            <w:cnfStyle w:val="001000000000" w:firstRow="0" w:lastRow="0" w:firstColumn="1" w:lastColumn="0" w:oddVBand="0" w:evenVBand="0" w:oddHBand="0" w:evenHBand="0" w:firstRowFirstColumn="0" w:firstRowLastColumn="0" w:lastRowFirstColumn="0" w:lastRowLastColumn="0"/>
            <w:tcW w:w="1456" w:type="dxa"/>
          </w:tcPr>
          <w:p w14:paraId="1F3018AC" w14:textId="77777777" w:rsidR="00E57A12" w:rsidRDefault="00E57A12" w:rsidP="00E57A12">
            <w:pPr>
              <w:pStyle w:val="TableText"/>
            </w:pPr>
          </w:p>
        </w:tc>
        <w:tc>
          <w:tcPr>
            <w:tcW w:w="1457" w:type="dxa"/>
          </w:tcPr>
          <w:p w14:paraId="132F53AE" w14:textId="1D65826E" w:rsidR="00E57A12" w:rsidRDefault="00E57A12" w:rsidP="00E57A12">
            <w:pPr>
              <w:pStyle w:val="TableText"/>
              <w:cnfStyle w:val="000000000000" w:firstRow="0" w:lastRow="0" w:firstColumn="0" w:lastColumn="0" w:oddVBand="0" w:evenVBand="0" w:oddHBand="0" w:evenHBand="0" w:firstRowFirstColumn="0" w:firstRowLastColumn="0" w:lastRowFirstColumn="0" w:lastRowLastColumn="0"/>
            </w:pPr>
            <w:r>
              <w:t>48</w:t>
            </w:r>
          </w:p>
        </w:tc>
        <w:tc>
          <w:tcPr>
            <w:tcW w:w="1457" w:type="dxa"/>
          </w:tcPr>
          <w:p w14:paraId="19AA01D8" w14:textId="718A8C71" w:rsidR="00E57A12" w:rsidRDefault="00E57A12" w:rsidP="00E57A12">
            <w:pPr>
              <w:pStyle w:val="TableText"/>
              <w:cnfStyle w:val="000000000000" w:firstRow="0" w:lastRow="0" w:firstColumn="0" w:lastColumn="0" w:oddVBand="0" w:evenVBand="0" w:oddHBand="0" w:evenHBand="0" w:firstRowFirstColumn="0" w:firstRowLastColumn="0" w:lastRowFirstColumn="0" w:lastRowLastColumn="0"/>
            </w:pPr>
            <w:r>
              <w:t>4,500</w:t>
            </w:r>
          </w:p>
        </w:tc>
        <w:tc>
          <w:tcPr>
            <w:tcW w:w="1457" w:type="dxa"/>
          </w:tcPr>
          <w:p w14:paraId="2A1587D3" w14:textId="48721EC6" w:rsidR="00E57A12" w:rsidRDefault="00E57A12" w:rsidP="00E57A12">
            <w:pPr>
              <w:pStyle w:val="TableText"/>
              <w:cnfStyle w:val="000000000000" w:firstRow="0" w:lastRow="0" w:firstColumn="0" w:lastColumn="0" w:oddVBand="0" w:evenVBand="0" w:oddHBand="0" w:evenHBand="0" w:firstRowFirstColumn="0" w:firstRowLastColumn="0" w:lastRowFirstColumn="0" w:lastRowLastColumn="0"/>
            </w:pPr>
            <w:r>
              <w:t>9%</w:t>
            </w:r>
          </w:p>
        </w:tc>
        <w:tc>
          <w:tcPr>
            <w:tcW w:w="1457" w:type="dxa"/>
          </w:tcPr>
          <w:p w14:paraId="170860A7" w14:textId="01A7254F" w:rsidR="00E57A12" w:rsidRDefault="00E57A12" w:rsidP="00E57A12">
            <w:pPr>
              <w:pStyle w:val="TableText"/>
              <w:cnfStyle w:val="000000000000" w:firstRow="0" w:lastRow="0" w:firstColumn="0" w:lastColumn="0" w:oddVBand="0" w:evenVBand="0" w:oddHBand="0" w:evenHBand="0" w:firstRowFirstColumn="0" w:firstRowLastColumn="0" w:lastRowFirstColumn="0" w:lastRowLastColumn="0"/>
            </w:pPr>
            <w:r>
              <w:t>405</w:t>
            </w:r>
          </w:p>
        </w:tc>
        <w:tc>
          <w:tcPr>
            <w:tcW w:w="1457" w:type="dxa"/>
          </w:tcPr>
          <w:p w14:paraId="3770A695" w14:textId="23E0C23F" w:rsidR="00E57A12" w:rsidRDefault="00E57A12" w:rsidP="00E57A12">
            <w:pPr>
              <w:pStyle w:val="TableText"/>
              <w:cnfStyle w:val="000000000000" w:firstRow="0" w:lastRow="0" w:firstColumn="0" w:lastColumn="0" w:oddVBand="0" w:evenVBand="0" w:oddHBand="0" w:evenHBand="0" w:firstRowFirstColumn="0" w:firstRowLastColumn="0" w:lastRowFirstColumn="0" w:lastRowLastColumn="0"/>
            </w:pPr>
            <w:r>
              <w:t>500</w:t>
            </w:r>
          </w:p>
        </w:tc>
        <w:tc>
          <w:tcPr>
            <w:tcW w:w="1457" w:type="dxa"/>
          </w:tcPr>
          <w:p w14:paraId="77B379A4" w14:textId="3C052C42" w:rsidR="00E57A12" w:rsidRDefault="00E57A12" w:rsidP="00E57A12">
            <w:pPr>
              <w:pStyle w:val="TableText"/>
              <w:cnfStyle w:val="000000000000" w:firstRow="0" w:lastRow="0" w:firstColumn="0" w:lastColumn="0" w:oddVBand="0" w:evenVBand="0" w:oddHBand="0" w:evenHBand="0" w:firstRowFirstColumn="0" w:firstRowLastColumn="0" w:lastRowFirstColumn="0" w:lastRowLastColumn="0"/>
            </w:pPr>
            <w:r>
              <w:t>95</w:t>
            </w:r>
          </w:p>
        </w:tc>
      </w:tr>
      <w:tr w:rsidR="00E57A12" w14:paraId="1270C737" w14:textId="77777777" w:rsidTr="00B722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6" w:type="dxa"/>
          </w:tcPr>
          <w:p w14:paraId="6237A71F" w14:textId="77777777" w:rsidR="00E57A12" w:rsidRDefault="00E57A12" w:rsidP="00E57A12">
            <w:pPr>
              <w:pStyle w:val="TableText"/>
            </w:pPr>
          </w:p>
        </w:tc>
        <w:tc>
          <w:tcPr>
            <w:tcW w:w="1457" w:type="dxa"/>
          </w:tcPr>
          <w:p w14:paraId="0C1340BC" w14:textId="512493E8" w:rsidR="00E57A12" w:rsidRDefault="00E57A12" w:rsidP="00E57A12">
            <w:pPr>
              <w:pStyle w:val="TableText"/>
              <w:cnfStyle w:val="000000100000" w:firstRow="0" w:lastRow="0" w:firstColumn="0" w:lastColumn="0" w:oddVBand="0" w:evenVBand="0" w:oddHBand="1" w:evenHBand="0" w:firstRowFirstColumn="0" w:firstRowLastColumn="0" w:lastRowFirstColumn="0" w:lastRowLastColumn="0"/>
            </w:pPr>
            <w:r>
              <w:t>49</w:t>
            </w:r>
          </w:p>
        </w:tc>
        <w:tc>
          <w:tcPr>
            <w:tcW w:w="1457" w:type="dxa"/>
          </w:tcPr>
          <w:p w14:paraId="59A7120F" w14:textId="2B9B9D01" w:rsidR="00E57A12" w:rsidRDefault="00E57A12" w:rsidP="00E57A12">
            <w:pPr>
              <w:pStyle w:val="TableText"/>
              <w:cnfStyle w:val="000000100000" w:firstRow="0" w:lastRow="0" w:firstColumn="0" w:lastColumn="0" w:oddVBand="0" w:evenVBand="0" w:oddHBand="1" w:evenHBand="0" w:firstRowFirstColumn="0" w:firstRowLastColumn="0" w:lastRowFirstColumn="0" w:lastRowLastColumn="0"/>
            </w:pPr>
            <w:r>
              <w:t>3,500</w:t>
            </w:r>
          </w:p>
        </w:tc>
        <w:tc>
          <w:tcPr>
            <w:tcW w:w="1457" w:type="dxa"/>
          </w:tcPr>
          <w:p w14:paraId="796CB844" w14:textId="4CA17BAB" w:rsidR="00E57A12" w:rsidRDefault="00E57A12" w:rsidP="00E57A12">
            <w:pPr>
              <w:pStyle w:val="TableText"/>
              <w:cnfStyle w:val="000000100000" w:firstRow="0" w:lastRow="0" w:firstColumn="0" w:lastColumn="0" w:oddVBand="0" w:evenVBand="0" w:oddHBand="1" w:evenHBand="0" w:firstRowFirstColumn="0" w:firstRowLastColumn="0" w:lastRowFirstColumn="0" w:lastRowLastColumn="0"/>
            </w:pPr>
            <w:r>
              <w:t>9%</w:t>
            </w:r>
          </w:p>
        </w:tc>
        <w:tc>
          <w:tcPr>
            <w:tcW w:w="1457" w:type="dxa"/>
          </w:tcPr>
          <w:p w14:paraId="5AE5FB58" w14:textId="3360C310" w:rsidR="00E57A12" w:rsidRDefault="00E57A12" w:rsidP="00E57A12">
            <w:pPr>
              <w:pStyle w:val="TableText"/>
              <w:cnfStyle w:val="000000100000" w:firstRow="0" w:lastRow="0" w:firstColumn="0" w:lastColumn="0" w:oddVBand="0" w:evenVBand="0" w:oddHBand="1" w:evenHBand="0" w:firstRowFirstColumn="0" w:firstRowLastColumn="0" w:lastRowFirstColumn="0" w:lastRowLastColumn="0"/>
            </w:pPr>
            <w:r>
              <w:t>315</w:t>
            </w:r>
          </w:p>
        </w:tc>
        <w:tc>
          <w:tcPr>
            <w:tcW w:w="1457" w:type="dxa"/>
          </w:tcPr>
          <w:p w14:paraId="43E83583" w14:textId="0E104E00" w:rsidR="00E57A12" w:rsidRDefault="00E57A12" w:rsidP="00E57A12">
            <w:pPr>
              <w:pStyle w:val="TableText"/>
              <w:cnfStyle w:val="000000100000" w:firstRow="0" w:lastRow="0" w:firstColumn="0" w:lastColumn="0" w:oddVBand="0" w:evenVBand="0" w:oddHBand="1" w:evenHBand="0" w:firstRowFirstColumn="0" w:firstRowLastColumn="0" w:lastRowFirstColumn="0" w:lastRowLastColumn="0"/>
            </w:pPr>
            <w:r>
              <w:t>315</w:t>
            </w:r>
          </w:p>
        </w:tc>
        <w:tc>
          <w:tcPr>
            <w:tcW w:w="1457" w:type="dxa"/>
          </w:tcPr>
          <w:p w14:paraId="3E59B490" w14:textId="77777777" w:rsidR="00E57A12" w:rsidRDefault="00E57A12" w:rsidP="00E57A12">
            <w:pPr>
              <w:pStyle w:val="TableText"/>
              <w:cnfStyle w:val="000000100000" w:firstRow="0" w:lastRow="0" w:firstColumn="0" w:lastColumn="0" w:oddVBand="0" w:evenVBand="0" w:oddHBand="1" w:evenHBand="0" w:firstRowFirstColumn="0" w:firstRowLastColumn="0" w:lastRowFirstColumn="0" w:lastRowLastColumn="0"/>
            </w:pPr>
          </w:p>
        </w:tc>
      </w:tr>
      <w:tr w:rsidR="00E57A12" w14:paraId="25AF5AFD" w14:textId="77777777" w:rsidTr="00B72239">
        <w:tc>
          <w:tcPr>
            <w:cnfStyle w:val="001000000000" w:firstRow="0" w:lastRow="0" w:firstColumn="1" w:lastColumn="0" w:oddVBand="0" w:evenVBand="0" w:oddHBand="0" w:evenHBand="0" w:firstRowFirstColumn="0" w:firstRowLastColumn="0" w:lastRowFirstColumn="0" w:lastRowLastColumn="0"/>
            <w:tcW w:w="1456" w:type="dxa"/>
          </w:tcPr>
          <w:p w14:paraId="65D1F1A2" w14:textId="77777777" w:rsidR="00E57A12" w:rsidRDefault="00E57A12" w:rsidP="00E57A12">
            <w:pPr>
              <w:pStyle w:val="TableText"/>
            </w:pPr>
          </w:p>
        </w:tc>
        <w:tc>
          <w:tcPr>
            <w:tcW w:w="1457" w:type="dxa"/>
          </w:tcPr>
          <w:p w14:paraId="422FD2C8" w14:textId="6F750EEA" w:rsidR="00E57A12" w:rsidRDefault="00E57A12" w:rsidP="00E57A12">
            <w:pPr>
              <w:pStyle w:val="TableText"/>
              <w:cnfStyle w:val="000000000000" w:firstRow="0" w:lastRow="0" w:firstColumn="0" w:lastColumn="0" w:oddVBand="0" w:evenVBand="0" w:oddHBand="0" w:evenHBand="0" w:firstRowFirstColumn="0" w:firstRowLastColumn="0" w:lastRowFirstColumn="0" w:lastRowLastColumn="0"/>
            </w:pPr>
            <w:r>
              <w:t>50</w:t>
            </w:r>
          </w:p>
        </w:tc>
        <w:tc>
          <w:tcPr>
            <w:tcW w:w="1457" w:type="dxa"/>
          </w:tcPr>
          <w:p w14:paraId="3FB610F5" w14:textId="634087D3" w:rsidR="00E57A12" w:rsidRDefault="00E57A12" w:rsidP="00E57A12">
            <w:pPr>
              <w:pStyle w:val="TableText"/>
              <w:cnfStyle w:val="000000000000" w:firstRow="0" w:lastRow="0" w:firstColumn="0" w:lastColumn="0" w:oddVBand="0" w:evenVBand="0" w:oddHBand="0" w:evenHBand="0" w:firstRowFirstColumn="0" w:firstRowLastColumn="0" w:lastRowFirstColumn="0" w:lastRowLastColumn="0"/>
            </w:pPr>
            <w:r>
              <w:t>5,200</w:t>
            </w:r>
          </w:p>
        </w:tc>
        <w:tc>
          <w:tcPr>
            <w:tcW w:w="1457" w:type="dxa"/>
          </w:tcPr>
          <w:p w14:paraId="46B559BA" w14:textId="589A15EE" w:rsidR="00E57A12" w:rsidRDefault="00E57A12" w:rsidP="00E57A12">
            <w:pPr>
              <w:pStyle w:val="TableText"/>
              <w:cnfStyle w:val="000000000000" w:firstRow="0" w:lastRow="0" w:firstColumn="0" w:lastColumn="0" w:oddVBand="0" w:evenVBand="0" w:oddHBand="0" w:evenHBand="0" w:firstRowFirstColumn="0" w:firstRowLastColumn="0" w:lastRowFirstColumn="0" w:lastRowLastColumn="0"/>
            </w:pPr>
            <w:r>
              <w:t>9%</w:t>
            </w:r>
          </w:p>
        </w:tc>
        <w:tc>
          <w:tcPr>
            <w:tcW w:w="1457" w:type="dxa"/>
          </w:tcPr>
          <w:p w14:paraId="363FFC6D" w14:textId="19760E74" w:rsidR="00E57A12" w:rsidRDefault="00E57A12" w:rsidP="00E57A12">
            <w:pPr>
              <w:pStyle w:val="TableText"/>
              <w:cnfStyle w:val="000000000000" w:firstRow="0" w:lastRow="0" w:firstColumn="0" w:lastColumn="0" w:oddVBand="0" w:evenVBand="0" w:oddHBand="0" w:evenHBand="0" w:firstRowFirstColumn="0" w:firstRowLastColumn="0" w:lastRowFirstColumn="0" w:lastRowLastColumn="0"/>
            </w:pPr>
            <w:r>
              <w:t>468</w:t>
            </w:r>
          </w:p>
        </w:tc>
        <w:tc>
          <w:tcPr>
            <w:tcW w:w="1457" w:type="dxa"/>
          </w:tcPr>
          <w:p w14:paraId="4FC3C2DB" w14:textId="21D5A64E" w:rsidR="00E57A12" w:rsidRDefault="00E57A12" w:rsidP="00E57A12">
            <w:pPr>
              <w:pStyle w:val="TableText"/>
              <w:cnfStyle w:val="000000000000" w:firstRow="0" w:lastRow="0" w:firstColumn="0" w:lastColumn="0" w:oddVBand="0" w:evenVBand="0" w:oddHBand="0" w:evenHBand="0" w:firstRowFirstColumn="0" w:firstRowLastColumn="0" w:lastRowFirstColumn="0" w:lastRowLastColumn="0"/>
            </w:pPr>
            <w:r>
              <w:t>468</w:t>
            </w:r>
          </w:p>
        </w:tc>
        <w:tc>
          <w:tcPr>
            <w:tcW w:w="1457" w:type="dxa"/>
          </w:tcPr>
          <w:p w14:paraId="24171C8F" w14:textId="77777777" w:rsidR="00E57A12" w:rsidRDefault="00E57A12" w:rsidP="00E57A12">
            <w:pPr>
              <w:pStyle w:val="TableText"/>
              <w:cnfStyle w:val="000000000000" w:firstRow="0" w:lastRow="0" w:firstColumn="0" w:lastColumn="0" w:oddVBand="0" w:evenVBand="0" w:oddHBand="0" w:evenHBand="0" w:firstRowFirstColumn="0" w:firstRowLastColumn="0" w:lastRowFirstColumn="0" w:lastRowLastColumn="0"/>
            </w:pPr>
          </w:p>
        </w:tc>
      </w:tr>
    </w:tbl>
    <w:p w14:paraId="13578E0A" w14:textId="4533AC05" w:rsidR="00B72239" w:rsidRDefault="00E57A12" w:rsidP="002A10FF">
      <w:pPr>
        <w:pStyle w:val="TableLabel"/>
        <w:spacing w:before="240"/>
        <w:ind w:left="0" w:firstLine="0"/>
      </w:pPr>
      <w:r>
        <w:t>Table 2: Individual jackpot poll monitoring</w:t>
      </w:r>
    </w:p>
    <w:p w14:paraId="7F16930A" w14:textId="3B07960F" w:rsidR="00E57A12" w:rsidRDefault="00E57A12" w:rsidP="0081733D">
      <w:pPr>
        <w:rPr>
          <w:lang w:val="en-AU"/>
        </w:rPr>
      </w:pPr>
      <w:r>
        <w:rPr>
          <w:lang w:val="en-AU"/>
        </w:rPr>
        <w:t xml:space="preserve">Suggested table to help in monitoring individual jackpot pools </w:t>
      </w:r>
      <w:proofErr w:type="gramStart"/>
      <w:r>
        <w:rPr>
          <w:lang w:val="en-AU"/>
        </w:rPr>
        <w:t>on a daily basis</w:t>
      </w:r>
      <w:proofErr w:type="gramEnd"/>
      <w:r>
        <w:rPr>
          <w:lang w:val="en-AU"/>
        </w:rPr>
        <w:t>.</w:t>
      </w:r>
    </w:p>
    <w:tbl>
      <w:tblPr>
        <w:tblStyle w:val="TableGrid"/>
        <w:tblW w:w="0" w:type="auto"/>
        <w:tblLook w:val="04A0" w:firstRow="1" w:lastRow="0" w:firstColumn="1" w:lastColumn="0" w:noHBand="0" w:noVBand="1"/>
      </w:tblPr>
      <w:tblGrid>
        <w:gridCol w:w="1134"/>
        <w:gridCol w:w="2264"/>
        <w:gridCol w:w="1700"/>
        <w:gridCol w:w="1700"/>
        <w:gridCol w:w="1700"/>
        <w:gridCol w:w="1700"/>
      </w:tblGrid>
      <w:tr w:rsidR="00E57A12" w14:paraId="01F14FF5" w14:textId="77777777" w:rsidTr="00B41E5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Pr>
          <w:p w14:paraId="2296B7BD" w14:textId="0DCD66BB" w:rsidR="00E57A12" w:rsidRDefault="00B41E51" w:rsidP="00B41E51">
            <w:pPr>
              <w:pStyle w:val="TableHeader"/>
            </w:pPr>
            <w:r>
              <w:t>Date</w:t>
            </w:r>
          </w:p>
        </w:tc>
        <w:tc>
          <w:tcPr>
            <w:tcW w:w="2264" w:type="dxa"/>
          </w:tcPr>
          <w:p w14:paraId="0B138EA0" w14:textId="737A1685" w:rsidR="00E57A12" w:rsidRDefault="00B41E51" w:rsidP="00B41E51">
            <w:pPr>
              <w:pStyle w:val="TableHeader"/>
              <w:cnfStyle w:val="100000000000" w:firstRow="1" w:lastRow="0" w:firstColumn="0" w:lastColumn="0" w:oddVBand="0" w:evenVBand="0" w:oddHBand="0" w:evenHBand="0" w:firstRowFirstColumn="0" w:firstRowLastColumn="0" w:lastRowFirstColumn="0" w:lastRowLastColumn="0"/>
            </w:pPr>
            <w:r>
              <w:t>Jackpot name</w:t>
            </w:r>
          </w:p>
        </w:tc>
        <w:tc>
          <w:tcPr>
            <w:tcW w:w="1700" w:type="dxa"/>
          </w:tcPr>
          <w:p w14:paraId="595DF5F2" w14:textId="77777777" w:rsidR="00B41E51" w:rsidRDefault="00B41E51" w:rsidP="00B41E51">
            <w:pPr>
              <w:pStyle w:val="TableHeader"/>
              <w:cnfStyle w:val="100000000000" w:firstRow="1" w:lastRow="0" w:firstColumn="0" w:lastColumn="0" w:oddVBand="0" w:evenVBand="0" w:oddHBand="0" w:evenHBand="0" w:firstRowFirstColumn="0" w:firstRowLastColumn="0" w:lastRowFirstColumn="0" w:lastRowLastColumn="0"/>
            </w:pPr>
            <w:r>
              <w:t xml:space="preserve">Jackpot pool opening </w:t>
            </w:r>
          </w:p>
          <w:p w14:paraId="0853561D" w14:textId="6D6F13F8" w:rsidR="00E57A12" w:rsidRPr="00B41E51" w:rsidRDefault="00B41E51" w:rsidP="00B41E51">
            <w:pPr>
              <w:pStyle w:val="TableHeader"/>
              <w:cnfStyle w:val="100000000000" w:firstRow="1" w:lastRow="0" w:firstColumn="0" w:lastColumn="0" w:oddVBand="0" w:evenVBand="0" w:oddHBand="0" w:evenHBand="0" w:firstRowFirstColumn="0" w:firstRowLastColumn="0" w:lastRowFirstColumn="0" w:lastRowLastColumn="0"/>
              <w:rPr>
                <w:b w:val="0"/>
                <w:bCs/>
              </w:rPr>
            </w:pPr>
            <w:r w:rsidRPr="00B41E51">
              <w:rPr>
                <w:b w:val="0"/>
                <w:bCs/>
              </w:rPr>
              <w:t>(a)</w:t>
            </w:r>
          </w:p>
        </w:tc>
        <w:tc>
          <w:tcPr>
            <w:tcW w:w="1700" w:type="dxa"/>
          </w:tcPr>
          <w:p w14:paraId="1CCA0333" w14:textId="77777777" w:rsidR="00B41E51" w:rsidRDefault="00B41E51" w:rsidP="00B41E51">
            <w:pPr>
              <w:pStyle w:val="TableHeader"/>
              <w:cnfStyle w:val="100000000000" w:firstRow="1" w:lastRow="0" w:firstColumn="0" w:lastColumn="0" w:oddVBand="0" w:evenVBand="0" w:oddHBand="0" w:evenHBand="0" w:firstRowFirstColumn="0" w:firstRowLastColumn="0" w:lastRowFirstColumn="0" w:lastRowLastColumn="0"/>
            </w:pPr>
            <w:r>
              <w:t xml:space="preserve">Calculated jackpot </w:t>
            </w:r>
          </w:p>
          <w:p w14:paraId="001B3CAE" w14:textId="04B131A4" w:rsidR="00E57A12" w:rsidRPr="00B41E51" w:rsidRDefault="00B41E51" w:rsidP="00B41E51">
            <w:pPr>
              <w:pStyle w:val="TableHeader"/>
              <w:cnfStyle w:val="100000000000" w:firstRow="1" w:lastRow="0" w:firstColumn="0" w:lastColumn="0" w:oddVBand="0" w:evenVBand="0" w:oddHBand="0" w:evenHBand="0" w:firstRowFirstColumn="0" w:firstRowLastColumn="0" w:lastRowFirstColumn="0" w:lastRowLastColumn="0"/>
              <w:rPr>
                <w:b w:val="0"/>
                <w:bCs/>
              </w:rPr>
            </w:pPr>
            <w:r w:rsidRPr="00B41E51">
              <w:rPr>
                <w:b w:val="0"/>
                <w:bCs/>
              </w:rPr>
              <w:t>(b)</w:t>
            </w:r>
          </w:p>
        </w:tc>
        <w:tc>
          <w:tcPr>
            <w:tcW w:w="1700" w:type="dxa"/>
          </w:tcPr>
          <w:p w14:paraId="78D0DFE2" w14:textId="77777777" w:rsidR="00B41E51" w:rsidRDefault="00B41E51" w:rsidP="00B41E51">
            <w:pPr>
              <w:pStyle w:val="TableHeader"/>
              <w:cnfStyle w:val="100000000000" w:firstRow="1" w:lastRow="0" w:firstColumn="0" w:lastColumn="0" w:oddVBand="0" w:evenVBand="0" w:oddHBand="0" w:evenHBand="0" w:firstRowFirstColumn="0" w:firstRowLastColumn="0" w:lastRowFirstColumn="0" w:lastRowLastColumn="0"/>
            </w:pPr>
            <w:r>
              <w:t xml:space="preserve">Jackpot win </w:t>
            </w:r>
          </w:p>
          <w:p w14:paraId="2FF37DC8" w14:textId="74C3062D" w:rsidR="00E57A12" w:rsidRPr="00B41E51" w:rsidRDefault="00B41E51" w:rsidP="00B41E51">
            <w:pPr>
              <w:pStyle w:val="TableHeader"/>
              <w:cnfStyle w:val="100000000000" w:firstRow="1" w:lastRow="0" w:firstColumn="0" w:lastColumn="0" w:oddVBand="0" w:evenVBand="0" w:oddHBand="0" w:evenHBand="0" w:firstRowFirstColumn="0" w:firstRowLastColumn="0" w:lastRowFirstColumn="0" w:lastRowLastColumn="0"/>
              <w:rPr>
                <w:b w:val="0"/>
                <w:bCs/>
              </w:rPr>
            </w:pPr>
            <w:r w:rsidRPr="00B41E51">
              <w:rPr>
                <w:b w:val="0"/>
                <w:bCs/>
              </w:rPr>
              <w:t>(c)</w:t>
            </w:r>
          </w:p>
        </w:tc>
        <w:tc>
          <w:tcPr>
            <w:tcW w:w="1700" w:type="dxa"/>
          </w:tcPr>
          <w:p w14:paraId="623F38E0" w14:textId="77777777" w:rsidR="00B41E51" w:rsidRDefault="00B41E51" w:rsidP="00B41E51">
            <w:pPr>
              <w:pStyle w:val="TableHeader"/>
              <w:cnfStyle w:val="100000000000" w:firstRow="1" w:lastRow="0" w:firstColumn="0" w:lastColumn="0" w:oddVBand="0" w:evenVBand="0" w:oddHBand="0" w:evenHBand="0" w:firstRowFirstColumn="0" w:firstRowLastColumn="0" w:lastRowFirstColumn="0" w:lastRowLastColumn="0"/>
            </w:pPr>
            <w:r>
              <w:t xml:space="preserve">Jackpot pool closing balance </w:t>
            </w:r>
          </w:p>
          <w:p w14:paraId="2B2D3FB2" w14:textId="0029E4E8" w:rsidR="00B41E51" w:rsidRPr="00B41E51" w:rsidRDefault="00B41E51" w:rsidP="00B41E51">
            <w:pPr>
              <w:pStyle w:val="TableHeader"/>
              <w:cnfStyle w:val="100000000000" w:firstRow="1" w:lastRow="0" w:firstColumn="0" w:lastColumn="0" w:oddVBand="0" w:evenVBand="0" w:oddHBand="0" w:evenHBand="0" w:firstRowFirstColumn="0" w:firstRowLastColumn="0" w:lastRowFirstColumn="0" w:lastRowLastColumn="0"/>
              <w:rPr>
                <w:b w:val="0"/>
                <w:bCs/>
              </w:rPr>
            </w:pPr>
            <w:r w:rsidRPr="00B41E51">
              <w:rPr>
                <w:b w:val="0"/>
                <w:bCs/>
              </w:rPr>
              <w:t>(a)+(b)-(c)</w:t>
            </w:r>
          </w:p>
        </w:tc>
      </w:tr>
      <w:tr w:rsidR="00E57A12" w14:paraId="696633E5" w14:textId="77777777" w:rsidTr="00B41E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Pr>
          <w:p w14:paraId="219517A3" w14:textId="0C2A849E" w:rsidR="00E57A12" w:rsidRDefault="00B41E51" w:rsidP="00B41E51">
            <w:pPr>
              <w:pStyle w:val="TableText"/>
            </w:pPr>
            <w:r>
              <w:t xml:space="preserve">1 Feb </w:t>
            </w:r>
            <w:r w:rsidR="00FB1B1C">
              <w:t>22</w:t>
            </w:r>
          </w:p>
        </w:tc>
        <w:tc>
          <w:tcPr>
            <w:tcW w:w="2264" w:type="dxa"/>
          </w:tcPr>
          <w:p w14:paraId="6FB89371" w14:textId="78947373" w:rsidR="00E57A12" w:rsidRDefault="00B41E51" w:rsidP="00B41E51">
            <w:pPr>
              <w:pStyle w:val="TableText"/>
              <w:cnfStyle w:val="000000100000" w:firstRow="0" w:lastRow="0" w:firstColumn="0" w:lastColumn="0" w:oddVBand="0" w:evenVBand="0" w:oddHBand="1" w:evenHBand="0" w:firstRowFirstColumn="0" w:firstRowLastColumn="0" w:lastRowFirstColumn="0" w:lastRowLastColumn="0"/>
            </w:pPr>
            <w:r>
              <w:t>Cash Express</w:t>
            </w:r>
          </w:p>
        </w:tc>
        <w:tc>
          <w:tcPr>
            <w:tcW w:w="1700" w:type="dxa"/>
          </w:tcPr>
          <w:p w14:paraId="16FD54FB" w14:textId="103BC4E0" w:rsidR="00E57A12" w:rsidRDefault="00B41E51" w:rsidP="00B41E51">
            <w:pPr>
              <w:pStyle w:val="TableText"/>
              <w:jc w:val="right"/>
              <w:cnfStyle w:val="000000100000" w:firstRow="0" w:lastRow="0" w:firstColumn="0" w:lastColumn="0" w:oddVBand="0" w:evenVBand="0" w:oddHBand="1" w:evenHBand="0" w:firstRowFirstColumn="0" w:firstRowLastColumn="0" w:lastRowFirstColumn="0" w:lastRowLastColumn="0"/>
            </w:pPr>
            <w:r>
              <w:t>-</w:t>
            </w:r>
          </w:p>
        </w:tc>
        <w:tc>
          <w:tcPr>
            <w:tcW w:w="1700" w:type="dxa"/>
          </w:tcPr>
          <w:p w14:paraId="0FB1EFA3" w14:textId="637AD540" w:rsidR="00E57A12" w:rsidRDefault="00B41E51" w:rsidP="00B41E51">
            <w:pPr>
              <w:pStyle w:val="TableText"/>
              <w:jc w:val="right"/>
              <w:cnfStyle w:val="000000100000" w:firstRow="0" w:lastRow="0" w:firstColumn="0" w:lastColumn="0" w:oddVBand="0" w:evenVBand="0" w:oddHBand="1" w:evenHBand="0" w:firstRowFirstColumn="0" w:firstRowLastColumn="0" w:lastRowFirstColumn="0" w:lastRowLastColumn="0"/>
            </w:pPr>
            <w:r>
              <w:t>1,400.00</w:t>
            </w:r>
          </w:p>
        </w:tc>
        <w:tc>
          <w:tcPr>
            <w:tcW w:w="1700" w:type="dxa"/>
          </w:tcPr>
          <w:p w14:paraId="3842FA83" w14:textId="6A02AF45" w:rsidR="00E57A12" w:rsidRDefault="00B41E51" w:rsidP="00B41E51">
            <w:pPr>
              <w:pStyle w:val="TableText"/>
              <w:jc w:val="right"/>
              <w:cnfStyle w:val="000000100000" w:firstRow="0" w:lastRow="0" w:firstColumn="0" w:lastColumn="0" w:oddVBand="0" w:evenVBand="0" w:oddHBand="1" w:evenHBand="0" w:firstRowFirstColumn="0" w:firstRowLastColumn="0" w:lastRowFirstColumn="0" w:lastRowLastColumn="0"/>
            </w:pPr>
            <w:r>
              <w:t>500.00</w:t>
            </w:r>
          </w:p>
        </w:tc>
        <w:tc>
          <w:tcPr>
            <w:tcW w:w="1700" w:type="dxa"/>
          </w:tcPr>
          <w:p w14:paraId="7C913333" w14:textId="3452E27A" w:rsidR="00E57A12" w:rsidRDefault="00B41E51" w:rsidP="00B41E51">
            <w:pPr>
              <w:pStyle w:val="TableText"/>
              <w:jc w:val="right"/>
              <w:cnfStyle w:val="000000100000" w:firstRow="0" w:lastRow="0" w:firstColumn="0" w:lastColumn="0" w:oddVBand="0" w:evenVBand="0" w:oddHBand="1" w:evenHBand="0" w:firstRowFirstColumn="0" w:firstRowLastColumn="0" w:lastRowFirstColumn="0" w:lastRowLastColumn="0"/>
            </w:pPr>
            <w:r>
              <w:t>900.00</w:t>
            </w:r>
          </w:p>
        </w:tc>
      </w:tr>
      <w:tr w:rsidR="00B41E51" w14:paraId="77FBAF50" w14:textId="77777777" w:rsidTr="00B41E51">
        <w:tc>
          <w:tcPr>
            <w:cnfStyle w:val="001000000000" w:firstRow="0" w:lastRow="0" w:firstColumn="1" w:lastColumn="0" w:oddVBand="0" w:evenVBand="0" w:oddHBand="0" w:evenHBand="0" w:firstRowFirstColumn="0" w:firstRowLastColumn="0" w:lastRowFirstColumn="0" w:lastRowLastColumn="0"/>
            <w:tcW w:w="1134" w:type="dxa"/>
          </w:tcPr>
          <w:p w14:paraId="0A6DBE7E" w14:textId="77777777" w:rsidR="00B41E51" w:rsidRDefault="00B41E51" w:rsidP="00B41E51">
            <w:pPr>
              <w:pStyle w:val="TableText"/>
            </w:pPr>
          </w:p>
        </w:tc>
        <w:tc>
          <w:tcPr>
            <w:tcW w:w="2264" w:type="dxa"/>
          </w:tcPr>
          <w:p w14:paraId="2F318B71" w14:textId="514E02A9" w:rsidR="00B41E51" w:rsidRDefault="00B41E51" w:rsidP="00B41E51">
            <w:pPr>
              <w:pStyle w:val="TableText"/>
              <w:cnfStyle w:val="000000000000" w:firstRow="0" w:lastRow="0" w:firstColumn="0" w:lastColumn="0" w:oddVBand="0" w:evenVBand="0" w:oddHBand="0" w:evenHBand="0" w:firstRowFirstColumn="0" w:firstRowLastColumn="0" w:lastRowFirstColumn="0" w:lastRowLastColumn="0"/>
            </w:pPr>
            <w:r>
              <w:t>Showcase Jackpots</w:t>
            </w:r>
          </w:p>
        </w:tc>
        <w:tc>
          <w:tcPr>
            <w:tcW w:w="1700" w:type="dxa"/>
          </w:tcPr>
          <w:p w14:paraId="1ABF4A35" w14:textId="38C8F3BF" w:rsidR="00B41E51" w:rsidRDefault="00B41E51" w:rsidP="00B41E51">
            <w:pPr>
              <w:pStyle w:val="TableText"/>
              <w:jc w:val="right"/>
              <w:cnfStyle w:val="000000000000" w:firstRow="0" w:lastRow="0" w:firstColumn="0" w:lastColumn="0" w:oddVBand="0" w:evenVBand="0" w:oddHBand="0" w:evenHBand="0" w:firstRowFirstColumn="0" w:firstRowLastColumn="0" w:lastRowFirstColumn="0" w:lastRowLastColumn="0"/>
            </w:pPr>
            <w:r>
              <w:t>-</w:t>
            </w:r>
          </w:p>
        </w:tc>
        <w:tc>
          <w:tcPr>
            <w:tcW w:w="1700" w:type="dxa"/>
          </w:tcPr>
          <w:p w14:paraId="378E8784" w14:textId="5BBAEF1A" w:rsidR="00B41E51" w:rsidRDefault="00B41E51" w:rsidP="00B41E51">
            <w:pPr>
              <w:pStyle w:val="TableText"/>
              <w:jc w:val="right"/>
              <w:cnfStyle w:val="000000000000" w:firstRow="0" w:lastRow="0" w:firstColumn="0" w:lastColumn="0" w:oddVBand="0" w:evenVBand="0" w:oddHBand="0" w:evenHBand="0" w:firstRowFirstColumn="0" w:firstRowLastColumn="0" w:lastRowFirstColumn="0" w:lastRowLastColumn="0"/>
            </w:pPr>
            <w:r>
              <w:t>1,807.50</w:t>
            </w:r>
          </w:p>
        </w:tc>
        <w:tc>
          <w:tcPr>
            <w:tcW w:w="1700" w:type="dxa"/>
          </w:tcPr>
          <w:p w14:paraId="71F1B43F" w14:textId="4C5874B0" w:rsidR="00B41E51" w:rsidRDefault="00B41E51" w:rsidP="00B41E51">
            <w:pPr>
              <w:pStyle w:val="TableText"/>
              <w:jc w:val="right"/>
              <w:cnfStyle w:val="000000000000" w:firstRow="0" w:lastRow="0" w:firstColumn="0" w:lastColumn="0" w:oddVBand="0" w:evenVBand="0" w:oddHBand="0" w:evenHBand="0" w:firstRowFirstColumn="0" w:firstRowLastColumn="0" w:lastRowFirstColumn="0" w:lastRowLastColumn="0"/>
            </w:pPr>
            <w:r>
              <w:t>700.00</w:t>
            </w:r>
          </w:p>
        </w:tc>
        <w:tc>
          <w:tcPr>
            <w:tcW w:w="1700" w:type="dxa"/>
          </w:tcPr>
          <w:p w14:paraId="609CBC96" w14:textId="2C8030FE" w:rsidR="00B41E51" w:rsidRDefault="00B41E51" w:rsidP="00B41E51">
            <w:pPr>
              <w:pStyle w:val="TableText"/>
              <w:jc w:val="right"/>
              <w:cnfStyle w:val="000000000000" w:firstRow="0" w:lastRow="0" w:firstColumn="0" w:lastColumn="0" w:oddVBand="0" w:evenVBand="0" w:oddHBand="0" w:evenHBand="0" w:firstRowFirstColumn="0" w:firstRowLastColumn="0" w:lastRowFirstColumn="0" w:lastRowLastColumn="0"/>
            </w:pPr>
            <w:r>
              <w:t>1,107.50</w:t>
            </w:r>
          </w:p>
        </w:tc>
      </w:tr>
      <w:tr w:rsidR="00B41E51" w14:paraId="283E1E8C" w14:textId="77777777" w:rsidTr="00B41E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Pr>
          <w:p w14:paraId="29132D54" w14:textId="77777777" w:rsidR="00B41E51" w:rsidRDefault="00B41E51" w:rsidP="00B41E51">
            <w:pPr>
              <w:pStyle w:val="TableText"/>
            </w:pPr>
          </w:p>
        </w:tc>
        <w:tc>
          <w:tcPr>
            <w:tcW w:w="2264" w:type="dxa"/>
          </w:tcPr>
          <w:p w14:paraId="5FBEB6B2" w14:textId="3725A4CE" w:rsidR="00B41E51" w:rsidRDefault="00B41E51" w:rsidP="00B41E51">
            <w:pPr>
              <w:pStyle w:val="TableText"/>
              <w:cnfStyle w:val="000000100000" w:firstRow="0" w:lastRow="0" w:firstColumn="0" w:lastColumn="0" w:oddVBand="0" w:evenVBand="0" w:oddHBand="1" w:evenHBand="0" w:firstRowFirstColumn="0" w:firstRowLastColumn="0" w:lastRowFirstColumn="0" w:lastRowLastColumn="0"/>
            </w:pPr>
            <w:r>
              <w:t>Player’s Paradise</w:t>
            </w:r>
          </w:p>
        </w:tc>
        <w:tc>
          <w:tcPr>
            <w:tcW w:w="1700" w:type="dxa"/>
          </w:tcPr>
          <w:p w14:paraId="3273B9EF" w14:textId="3A30469B" w:rsidR="00B41E51" w:rsidRDefault="00B41E51" w:rsidP="00B41E51">
            <w:pPr>
              <w:pStyle w:val="TableText"/>
              <w:jc w:val="right"/>
              <w:cnfStyle w:val="000000100000" w:firstRow="0" w:lastRow="0" w:firstColumn="0" w:lastColumn="0" w:oddVBand="0" w:evenVBand="0" w:oddHBand="1" w:evenHBand="0" w:firstRowFirstColumn="0" w:firstRowLastColumn="0" w:lastRowFirstColumn="0" w:lastRowLastColumn="0"/>
            </w:pPr>
            <w:r>
              <w:t>-</w:t>
            </w:r>
          </w:p>
        </w:tc>
        <w:tc>
          <w:tcPr>
            <w:tcW w:w="1700" w:type="dxa"/>
          </w:tcPr>
          <w:p w14:paraId="1CB0D58D" w14:textId="159D3328" w:rsidR="00B41E51" w:rsidRDefault="00B41E51" w:rsidP="00B41E51">
            <w:pPr>
              <w:pStyle w:val="TableText"/>
              <w:jc w:val="right"/>
              <w:cnfStyle w:val="000000100000" w:firstRow="0" w:lastRow="0" w:firstColumn="0" w:lastColumn="0" w:oddVBand="0" w:evenVBand="0" w:oddHBand="1" w:evenHBand="0" w:firstRowFirstColumn="0" w:firstRowLastColumn="0" w:lastRowFirstColumn="0" w:lastRowLastColumn="0"/>
            </w:pPr>
            <w:r>
              <w:t>2,500.00</w:t>
            </w:r>
          </w:p>
        </w:tc>
        <w:tc>
          <w:tcPr>
            <w:tcW w:w="1700" w:type="dxa"/>
          </w:tcPr>
          <w:p w14:paraId="46FD3FE3" w14:textId="4AC0321D" w:rsidR="00B41E51" w:rsidRDefault="00B41E51" w:rsidP="00B41E51">
            <w:pPr>
              <w:pStyle w:val="TableText"/>
              <w:jc w:val="right"/>
              <w:cnfStyle w:val="000000100000" w:firstRow="0" w:lastRow="0" w:firstColumn="0" w:lastColumn="0" w:oddVBand="0" w:evenVBand="0" w:oddHBand="1" w:evenHBand="0" w:firstRowFirstColumn="0" w:firstRowLastColumn="0" w:lastRowFirstColumn="0" w:lastRowLastColumn="0"/>
            </w:pPr>
            <w:r>
              <w:t>-</w:t>
            </w:r>
          </w:p>
        </w:tc>
        <w:tc>
          <w:tcPr>
            <w:tcW w:w="1700" w:type="dxa"/>
          </w:tcPr>
          <w:p w14:paraId="7C88D41C" w14:textId="4BE76CEF" w:rsidR="00B41E51" w:rsidRDefault="00B41E51" w:rsidP="00B41E51">
            <w:pPr>
              <w:pStyle w:val="TableText"/>
              <w:jc w:val="right"/>
              <w:cnfStyle w:val="000000100000" w:firstRow="0" w:lastRow="0" w:firstColumn="0" w:lastColumn="0" w:oddVBand="0" w:evenVBand="0" w:oddHBand="1" w:evenHBand="0" w:firstRowFirstColumn="0" w:firstRowLastColumn="0" w:lastRowFirstColumn="0" w:lastRowLastColumn="0"/>
            </w:pPr>
            <w:r>
              <w:t>2,500.00</w:t>
            </w:r>
          </w:p>
        </w:tc>
      </w:tr>
      <w:tr w:rsidR="00B41E51" w14:paraId="5502D6F8" w14:textId="77777777" w:rsidTr="00B41E51">
        <w:tc>
          <w:tcPr>
            <w:cnfStyle w:val="001000000000" w:firstRow="0" w:lastRow="0" w:firstColumn="1" w:lastColumn="0" w:oddVBand="0" w:evenVBand="0" w:oddHBand="0" w:evenHBand="0" w:firstRowFirstColumn="0" w:firstRowLastColumn="0" w:lastRowFirstColumn="0" w:lastRowLastColumn="0"/>
            <w:tcW w:w="1134" w:type="dxa"/>
          </w:tcPr>
          <w:p w14:paraId="7DA13418" w14:textId="77777777" w:rsidR="00B41E51" w:rsidRDefault="00B41E51" w:rsidP="00B41E51">
            <w:pPr>
              <w:pStyle w:val="TableText"/>
            </w:pPr>
          </w:p>
        </w:tc>
        <w:tc>
          <w:tcPr>
            <w:tcW w:w="2264" w:type="dxa"/>
          </w:tcPr>
          <w:p w14:paraId="2C5886BD" w14:textId="73AE7F31" w:rsidR="00B41E51" w:rsidRDefault="00B41E51" w:rsidP="00B41E51">
            <w:pPr>
              <w:pStyle w:val="TableText"/>
              <w:cnfStyle w:val="000000000000" w:firstRow="0" w:lastRow="0" w:firstColumn="0" w:lastColumn="0" w:oddVBand="0" w:evenVBand="0" w:oddHBand="0" w:evenHBand="0" w:firstRowFirstColumn="0" w:firstRowLastColumn="0" w:lastRowFirstColumn="0" w:lastRowLastColumn="0"/>
            </w:pPr>
            <w:r>
              <w:t>1c Jackpots</w:t>
            </w:r>
          </w:p>
        </w:tc>
        <w:tc>
          <w:tcPr>
            <w:tcW w:w="1700" w:type="dxa"/>
          </w:tcPr>
          <w:p w14:paraId="5B35CA9D" w14:textId="279D0101" w:rsidR="00B41E51" w:rsidRDefault="00B41E51" w:rsidP="00B41E51">
            <w:pPr>
              <w:pStyle w:val="TableText"/>
              <w:jc w:val="right"/>
              <w:cnfStyle w:val="000000000000" w:firstRow="0" w:lastRow="0" w:firstColumn="0" w:lastColumn="0" w:oddVBand="0" w:evenVBand="0" w:oddHBand="0" w:evenHBand="0" w:firstRowFirstColumn="0" w:firstRowLastColumn="0" w:lastRowFirstColumn="0" w:lastRowLastColumn="0"/>
            </w:pPr>
            <w:r>
              <w:t>-</w:t>
            </w:r>
          </w:p>
        </w:tc>
        <w:tc>
          <w:tcPr>
            <w:tcW w:w="1700" w:type="dxa"/>
          </w:tcPr>
          <w:p w14:paraId="39AACD97" w14:textId="5B69A948" w:rsidR="00B41E51" w:rsidRDefault="00B41E51" w:rsidP="00B41E51">
            <w:pPr>
              <w:pStyle w:val="TableText"/>
              <w:jc w:val="right"/>
              <w:cnfStyle w:val="000000000000" w:firstRow="0" w:lastRow="0" w:firstColumn="0" w:lastColumn="0" w:oddVBand="0" w:evenVBand="0" w:oddHBand="0" w:evenHBand="0" w:firstRowFirstColumn="0" w:firstRowLastColumn="0" w:lastRowFirstColumn="0" w:lastRowLastColumn="0"/>
            </w:pPr>
            <w:r>
              <w:t>520.00</w:t>
            </w:r>
          </w:p>
        </w:tc>
        <w:tc>
          <w:tcPr>
            <w:tcW w:w="1700" w:type="dxa"/>
          </w:tcPr>
          <w:p w14:paraId="689DEA8D" w14:textId="4104766F" w:rsidR="00B41E51" w:rsidRDefault="00B41E51" w:rsidP="00B41E51">
            <w:pPr>
              <w:pStyle w:val="TableText"/>
              <w:jc w:val="right"/>
              <w:cnfStyle w:val="000000000000" w:firstRow="0" w:lastRow="0" w:firstColumn="0" w:lastColumn="0" w:oddVBand="0" w:evenVBand="0" w:oddHBand="0" w:evenHBand="0" w:firstRowFirstColumn="0" w:firstRowLastColumn="0" w:lastRowFirstColumn="0" w:lastRowLastColumn="0"/>
            </w:pPr>
            <w:r>
              <w:t>140.00</w:t>
            </w:r>
          </w:p>
        </w:tc>
        <w:tc>
          <w:tcPr>
            <w:tcW w:w="1700" w:type="dxa"/>
          </w:tcPr>
          <w:p w14:paraId="0D3C151E" w14:textId="39FF8062" w:rsidR="00B41E51" w:rsidRDefault="00B41E51" w:rsidP="00B41E51">
            <w:pPr>
              <w:pStyle w:val="TableText"/>
              <w:jc w:val="right"/>
              <w:cnfStyle w:val="000000000000" w:firstRow="0" w:lastRow="0" w:firstColumn="0" w:lastColumn="0" w:oddVBand="0" w:evenVBand="0" w:oddHBand="0" w:evenHBand="0" w:firstRowFirstColumn="0" w:firstRowLastColumn="0" w:lastRowFirstColumn="0" w:lastRowLastColumn="0"/>
            </w:pPr>
            <w:r>
              <w:t>380.00</w:t>
            </w:r>
          </w:p>
        </w:tc>
      </w:tr>
      <w:tr w:rsidR="00B41E51" w:rsidRPr="00B41E51" w14:paraId="612DBE03" w14:textId="77777777" w:rsidTr="00B41E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Pr>
          <w:p w14:paraId="041BBE1B" w14:textId="77777777" w:rsidR="00B41E51" w:rsidRDefault="00B41E51" w:rsidP="00B41E51">
            <w:pPr>
              <w:pStyle w:val="TableText"/>
            </w:pPr>
          </w:p>
        </w:tc>
        <w:tc>
          <w:tcPr>
            <w:tcW w:w="2264" w:type="dxa"/>
          </w:tcPr>
          <w:p w14:paraId="3758CDC1" w14:textId="036904F1" w:rsidR="00B41E51" w:rsidRDefault="00B41E51" w:rsidP="00B41E51">
            <w:pPr>
              <w:pStyle w:val="TableText"/>
              <w:cnfStyle w:val="000000100000" w:firstRow="0" w:lastRow="0" w:firstColumn="0" w:lastColumn="0" w:oddVBand="0" w:evenVBand="0" w:oddHBand="1" w:evenHBand="0" w:firstRowFirstColumn="0" w:firstRowLastColumn="0" w:lastRowFirstColumn="0" w:lastRowLastColumn="0"/>
            </w:pPr>
            <w:r>
              <w:t>Multi</w:t>
            </w:r>
            <w:r w:rsidR="002A10FF">
              <w:t xml:space="preserve"> </w:t>
            </w:r>
            <w:r>
              <w:t>Cash Jac</w:t>
            </w:r>
            <w:r w:rsidR="002A10FF">
              <w:t>k</w:t>
            </w:r>
            <w:r>
              <w:t>pots</w:t>
            </w:r>
          </w:p>
        </w:tc>
        <w:tc>
          <w:tcPr>
            <w:tcW w:w="1700" w:type="dxa"/>
          </w:tcPr>
          <w:p w14:paraId="64DA2493" w14:textId="3F1A87B4" w:rsidR="00B41E51" w:rsidRDefault="00B41E51" w:rsidP="00B41E51">
            <w:pPr>
              <w:pStyle w:val="TableText"/>
              <w:jc w:val="right"/>
              <w:cnfStyle w:val="000000100000" w:firstRow="0" w:lastRow="0" w:firstColumn="0" w:lastColumn="0" w:oddVBand="0" w:evenVBand="0" w:oddHBand="1" w:evenHBand="0" w:firstRowFirstColumn="0" w:firstRowLastColumn="0" w:lastRowFirstColumn="0" w:lastRowLastColumn="0"/>
            </w:pPr>
            <w:r>
              <w:t>-</w:t>
            </w:r>
          </w:p>
        </w:tc>
        <w:tc>
          <w:tcPr>
            <w:tcW w:w="1700" w:type="dxa"/>
          </w:tcPr>
          <w:p w14:paraId="1FBA15D6" w14:textId="7B346930" w:rsidR="00B41E51" w:rsidRDefault="00B41E51" w:rsidP="00B41E51">
            <w:pPr>
              <w:pStyle w:val="TableText"/>
              <w:jc w:val="right"/>
              <w:cnfStyle w:val="000000100000" w:firstRow="0" w:lastRow="0" w:firstColumn="0" w:lastColumn="0" w:oddVBand="0" w:evenVBand="0" w:oddHBand="1" w:evenHBand="0" w:firstRowFirstColumn="0" w:firstRowLastColumn="0" w:lastRowFirstColumn="0" w:lastRowLastColumn="0"/>
            </w:pPr>
            <w:r>
              <w:t>1,500.00</w:t>
            </w:r>
          </w:p>
        </w:tc>
        <w:tc>
          <w:tcPr>
            <w:tcW w:w="1700" w:type="dxa"/>
          </w:tcPr>
          <w:p w14:paraId="40E484F0" w14:textId="3FF97AD3" w:rsidR="00B41E51" w:rsidRDefault="00B41E51" w:rsidP="00B41E51">
            <w:pPr>
              <w:pStyle w:val="TableText"/>
              <w:jc w:val="right"/>
              <w:cnfStyle w:val="000000100000" w:firstRow="0" w:lastRow="0" w:firstColumn="0" w:lastColumn="0" w:oddVBand="0" w:evenVBand="0" w:oddHBand="1" w:evenHBand="0" w:firstRowFirstColumn="0" w:firstRowLastColumn="0" w:lastRowFirstColumn="0" w:lastRowLastColumn="0"/>
            </w:pPr>
            <w:r>
              <w:t>1,600.00</w:t>
            </w:r>
          </w:p>
        </w:tc>
        <w:tc>
          <w:tcPr>
            <w:tcW w:w="1700" w:type="dxa"/>
          </w:tcPr>
          <w:p w14:paraId="19CCCEFF" w14:textId="3D65B0AB" w:rsidR="00B41E51" w:rsidRPr="00B41E51" w:rsidRDefault="00B41E51" w:rsidP="00B41E51">
            <w:pPr>
              <w:pStyle w:val="TableText"/>
              <w:jc w:val="right"/>
              <w:cnfStyle w:val="000000100000" w:firstRow="0" w:lastRow="0" w:firstColumn="0" w:lastColumn="0" w:oddVBand="0" w:evenVBand="0" w:oddHBand="1" w:evenHBand="0" w:firstRowFirstColumn="0" w:firstRowLastColumn="0" w:lastRowFirstColumn="0" w:lastRowLastColumn="0"/>
              <w:rPr>
                <w:color w:val="FF0000"/>
              </w:rPr>
            </w:pPr>
            <w:r w:rsidRPr="00B41E51">
              <w:rPr>
                <w:color w:val="FF0000"/>
              </w:rPr>
              <w:t>-100.00</w:t>
            </w:r>
          </w:p>
        </w:tc>
      </w:tr>
      <w:tr w:rsidR="00B41E51" w14:paraId="750ABD2C" w14:textId="77777777" w:rsidTr="00B41E51">
        <w:tc>
          <w:tcPr>
            <w:cnfStyle w:val="001000000000" w:firstRow="0" w:lastRow="0" w:firstColumn="1" w:lastColumn="0" w:oddVBand="0" w:evenVBand="0" w:oddHBand="0" w:evenHBand="0" w:firstRowFirstColumn="0" w:firstRowLastColumn="0" w:lastRowFirstColumn="0" w:lastRowLastColumn="0"/>
            <w:tcW w:w="1134" w:type="dxa"/>
          </w:tcPr>
          <w:p w14:paraId="75CCDB70" w14:textId="7E2DAF8B" w:rsidR="00B41E51" w:rsidRDefault="00B41E51" w:rsidP="00B41E51">
            <w:pPr>
              <w:pStyle w:val="TableText"/>
            </w:pPr>
            <w:r>
              <w:t xml:space="preserve">2 Feb </w:t>
            </w:r>
            <w:r w:rsidR="00FB1B1C">
              <w:t>22</w:t>
            </w:r>
          </w:p>
        </w:tc>
        <w:tc>
          <w:tcPr>
            <w:tcW w:w="2264" w:type="dxa"/>
          </w:tcPr>
          <w:p w14:paraId="4F0B4F6C" w14:textId="472DEE2D" w:rsidR="00B41E51" w:rsidRDefault="00B41E51" w:rsidP="00B41E51">
            <w:pPr>
              <w:pStyle w:val="TableText"/>
              <w:cnfStyle w:val="000000000000" w:firstRow="0" w:lastRow="0" w:firstColumn="0" w:lastColumn="0" w:oddVBand="0" w:evenVBand="0" w:oddHBand="0" w:evenHBand="0" w:firstRowFirstColumn="0" w:firstRowLastColumn="0" w:lastRowFirstColumn="0" w:lastRowLastColumn="0"/>
            </w:pPr>
            <w:r>
              <w:t>Cash Express</w:t>
            </w:r>
          </w:p>
        </w:tc>
        <w:tc>
          <w:tcPr>
            <w:tcW w:w="1700" w:type="dxa"/>
          </w:tcPr>
          <w:p w14:paraId="7FF2C643" w14:textId="18F692F0" w:rsidR="00B41E51" w:rsidRDefault="00B41E51" w:rsidP="00B41E51">
            <w:pPr>
              <w:pStyle w:val="TableText"/>
              <w:jc w:val="right"/>
              <w:cnfStyle w:val="000000000000" w:firstRow="0" w:lastRow="0" w:firstColumn="0" w:lastColumn="0" w:oddVBand="0" w:evenVBand="0" w:oddHBand="0" w:evenHBand="0" w:firstRowFirstColumn="0" w:firstRowLastColumn="0" w:lastRowFirstColumn="0" w:lastRowLastColumn="0"/>
            </w:pPr>
            <w:r>
              <w:t>900.00</w:t>
            </w:r>
          </w:p>
        </w:tc>
        <w:tc>
          <w:tcPr>
            <w:tcW w:w="1700" w:type="dxa"/>
          </w:tcPr>
          <w:p w14:paraId="1FACE4FD" w14:textId="3E70499C" w:rsidR="00B41E51" w:rsidRDefault="002A10FF" w:rsidP="00B41E51">
            <w:pPr>
              <w:pStyle w:val="TableText"/>
              <w:jc w:val="right"/>
              <w:cnfStyle w:val="000000000000" w:firstRow="0" w:lastRow="0" w:firstColumn="0" w:lastColumn="0" w:oddVBand="0" w:evenVBand="0" w:oddHBand="0" w:evenHBand="0" w:firstRowFirstColumn="0" w:firstRowLastColumn="0" w:lastRowFirstColumn="0" w:lastRowLastColumn="0"/>
            </w:pPr>
            <w:r>
              <w:t>2,100.00</w:t>
            </w:r>
          </w:p>
        </w:tc>
        <w:tc>
          <w:tcPr>
            <w:tcW w:w="1700" w:type="dxa"/>
          </w:tcPr>
          <w:p w14:paraId="46D98012" w14:textId="2257B7D9" w:rsidR="00B41E51" w:rsidRDefault="002A10FF" w:rsidP="00B41E51">
            <w:pPr>
              <w:pStyle w:val="TableText"/>
              <w:jc w:val="right"/>
              <w:cnfStyle w:val="000000000000" w:firstRow="0" w:lastRow="0" w:firstColumn="0" w:lastColumn="0" w:oddVBand="0" w:evenVBand="0" w:oddHBand="0" w:evenHBand="0" w:firstRowFirstColumn="0" w:firstRowLastColumn="0" w:lastRowFirstColumn="0" w:lastRowLastColumn="0"/>
            </w:pPr>
            <w:r>
              <w:t>2,800.00</w:t>
            </w:r>
          </w:p>
        </w:tc>
        <w:tc>
          <w:tcPr>
            <w:tcW w:w="1700" w:type="dxa"/>
          </w:tcPr>
          <w:p w14:paraId="21131B4B" w14:textId="3ED7A8DF" w:rsidR="00B41E51" w:rsidRDefault="002A10FF" w:rsidP="00B41E51">
            <w:pPr>
              <w:pStyle w:val="TableText"/>
              <w:jc w:val="right"/>
              <w:cnfStyle w:val="000000000000" w:firstRow="0" w:lastRow="0" w:firstColumn="0" w:lastColumn="0" w:oddVBand="0" w:evenVBand="0" w:oddHBand="0" w:evenHBand="0" w:firstRowFirstColumn="0" w:firstRowLastColumn="0" w:lastRowFirstColumn="0" w:lastRowLastColumn="0"/>
            </w:pPr>
            <w:r>
              <w:t>200.00</w:t>
            </w:r>
          </w:p>
        </w:tc>
      </w:tr>
      <w:tr w:rsidR="00B41E51" w14:paraId="061AD707" w14:textId="77777777" w:rsidTr="00B41E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Pr>
          <w:p w14:paraId="3D99143E" w14:textId="77777777" w:rsidR="00B41E51" w:rsidRDefault="00B41E51" w:rsidP="00B41E51">
            <w:pPr>
              <w:pStyle w:val="TableText"/>
            </w:pPr>
          </w:p>
        </w:tc>
        <w:tc>
          <w:tcPr>
            <w:tcW w:w="2264" w:type="dxa"/>
          </w:tcPr>
          <w:p w14:paraId="34AA5602" w14:textId="4817050C" w:rsidR="00B41E51" w:rsidRDefault="00B41E51" w:rsidP="00B41E51">
            <w:pPr>
              <w:pStyle w:val="TableText"/>
              <w:cnfStyle w:val="000000100000" w:firstRow="0" w:lastRow="0" w:firstColumn="0" w:lastColumn="0" w:oddVBand="0" w:evenVBand="0" w:oddHBand="1" w:evenHBand="0" w:firstRowFirstColumn="0" w:firstRowLastColumn="0" w:lastRowFirstColumn="0" w:lastRowLastColumn="0"/>
            </w:pPr>
            <w:r>
              <w:t>Showcase Jackpots</w:t>
            </w:r>
          </w:p>
        </w:tc>
        <w:tc>
          <w:tcPr>
            <w:tcW w:w="1700" w:type="dxa"/>
          </w:tcPr>
          <w:p w14:paraId="05B24925" w14:textId="5FB3A2F0" w:rsidR="00B41E51" w:rsidRDefault="00B41E51" w:rsidP="00B41E51">
            <w:pPr>
              <w:pStyle w:val="TableText"/>
              <w:jc w:val="right"/>
              <w:cnfStyle w:val="000000100000" w:firstRow="0" w:lastRow="0" w:firstColumn="0" w:lastColumn="0" w:oddVBand="0" w:evenVBand="0" w:oddHBand="1" w:evenHBand="0" w:firstRowFirstColumn="0" w:firstRowLastColumn="0" w:lastRowFirstColumn="0" w:lastRowLastColumn="0"/>
            </w:pPr>
            <w:r>
              <w:t>1,107.50</w:t>
            </w:r>
          </w:p>
        </w:tc>
        <w:tc>
          <w:tcPr>
            <w:tcW w:w="1700" w:type="dxa"/>
          </w:tcPr>
          <w:p w14:paraId="23ACCFAF" w14:textId="22699DC5" w:rsidR="00B41E51" w:rsidRDefault="002A10FF" w:rsidP="00B41E51">
            <w:pPr>
              <w:pStyle w:val="TableText"/>
              <w:jc w:val="right"/>
              <w:cnfStyle w:val="000000100000" w:firstRow="0" w:lastRow="0" w:firstColumn="0" w:lastColumn="0" w:oddVBand="0" w:evenVBand="0" w:oddHBand="1" w:evenHBand="0" w:firstRowFirstColumn="0" w:firstRowLastColumn="0" w:lastRowFirstColumn="0" w:lastRowLastColumn="0"/>
            </w:pPr>
            <w:r>
              <w:t>1,540.00</w:t>
            </w:r>
          </w:p>
        </w:tc>
        <w:tc>
          <w:tcPr>
            <w:tcW w:w="1700" w:type="dxa"/>
          </w:tcPr>
          <w:p w14:paraId="37A82BBD" w14:textId="05308204" w:rsidR="00B41E51" w:rsidRDefault="002A10FF" w:rsidP="00B41E51">
            <w:pPr>
              <w:pStyle w:val="TableText"/>
              <w:jc w:val="right"/>
              <w:cnfStyle w:val="000000100000" w:firstRow="0" w:lastRow="0" w:firstColumn="0" w:lastColumn="0" w:oddVBand="0" w:evenVBand="0" w:oddHBand="1" w:evenHBand="0" w:firstRowFirstColumn="0" w:firstRowLastColumn="0" w:lastRowFirstColumn="0" w:lastRowLastColumn="0"/>
            </w:pPr>
            <w:r>
              <w:t>1,400.00</w:t>
            </w:r>
          </w:p>
        </w:tc>
        <w:tc>
          <w:tcPr>
            <w:tcW w:w="1700" w:type="dxa"/>
          </w:tcPr>
          <w:p w14:paraId="49A2D038" w14:textId="7947D369" w:rsidR="00B41E51" w:rsidRDefault="002A10FF" w:rsidP="00B41E51">
            <w:pPr>
              <w:pStyle w:val="TableText"/>
              <w:jc w:val="right"/>
              <w:cnfStyle w:val="000000100000" w:firstRow="0" w:lastRow="0" w:firstColumn="0" w:lastColumn="0" w:oddVBand="0" w:evenVBand="0" w:oddHBand="1" w:evenHBand="0" w:firstRowFirstColumn="0" w:firstRowLastColumn="0" w:lastRowFirstColumn="0" w:lastRowLastColumn="0"/>
            </w:pPr>
            <w:r>
              <w:t>1,247.00</w:t>
            </w:r>
          </w:p>
        </w:tc>
      </w:tr>
      <w:tr w:rsidR="00B41E51" w14:paraId="4770A1B3" w14:textId="77777777" w:rsidTr="00B41E51">
        <w:tc>
          <w:tcPr>
            <w:cnfStyle w:val="001000000000" w:firstRow="0" w:lastRow="0" w:firstColumn="1" w:lastColumn="0" w:oddVBand="0" w:evenVBand="0" w:oddHBand="0" w:evenHBand="0" w:firstRowFirstColumn="0" w:firstRowLastColumn="0" w:lastRowFirstColumn="0" w:lastRowLastColumn="0"/>
            <w:tcW w:w="1134" w:type="dxa"/>
          </w:tcPr>
          <w:p w14:paraId="3E298ECB" w14:textId="77777777" w:rsidR="00B41E51" w:rsidRDefault="00B41E51" w:rsidP="00B41E51">
            <w:pPr>
              <w:pStyle w:val="TableText"/>
            </w:pPr>
          </w:p>
        </w:tc>
        <w:tc>
          <w:tcPr>
            <w:tcW w:w="2264" w:type="dxa"/>
          </w:tcPr>
          <w:p w14:paraId="5B57C94D" w14:textId="362968E3" w:rsidR="00B41E51" w:rsidRDefault="00B41E51" w:rsidP="00B41E51">
            <w:pPr>
              <w:pStyle w:val="TableText"/>
              <w:cnfStyle w:val="000000000000" w:firstRow="0" w:lastRow="0" w:firstColumn="0" w:lastColumn="0" w:oddVBand="0" w:evenVBand="0" w:oddHBand="0" w:evenHBand="0" w:firstRowFirstColumn="0" w:firstRowLastColumn="0" w:lastRowFirstColumn="0" w:lastRowLastColumn="0"/>
            </w:pPr>
            <w:r>
              <w:t>Player’s Paradise</w:t>
            </w:r>
          </w:p>
        </w:tc>
        <w:tc>
          <w:tcPr>
            <w:tcW w:w="1700" w:type="dxa"/>
          </w:tcPr>
          <w:p w14:paraId="51D27AB8" w14:textId="7AD05FD5" w:rsidR="00B41E51" w:rsidRDefault="00B41E51" w:rsidP="00B41E51">
            <w:pPr>
              <w:pStyle w:val="TableText"/>
              <w:jc w:val="right"/>
              <w:cnfStyle w:val="000000000000" w:firstRow="0" w:lastRow="0" w:firstColumn="0" w:lastColumn="0" w:oddVBand="0" w:evenVBand="0" w:oddHBand="0" w:evenHBand="0" w:firstRowFirstColumn="0" w:firstRowLastColumn="0" w:lastRowFirstColumn="0" w:lastRowLastColumn="0"/>
            </w:pPr>
            <w:r>
              <w:t>2,500.00</w:t>
            </w:r>
          </w:p>
        </w:tc>
        <w:tc>
          <w:tcPr>
            <w:tcW w:w="1700" w:type="dxa"/>
          </w:tcPr>
          <w:p w14:paraId="12BAC654" w14:textId="7CB3CE05" w:rsidR="00B41E51" w:rsidRDefault="002A10FF" w:rsidP="00B41E51">
            <w:pPr>
              <w:pStyle w:val="TableText"/>
              <w:jc w:val="right"/>
              <w:cnfStyle w:val="000000000000" w:firstRow="0" w:lastRow="0" w:firstColumn="0" w:lastColumn="0" w:oddVBand="0" w:evenVBand="0" w:oddHBand="0" w:evenHBand="0" w:firstRowFirstColumn="0" w:firstRowLastColumn="0" w:lastRowFirstColumn="0" w:lastRowLastColumn="0"/>
            </w:pPr>
            <w:r>
              <w:t>3,500.00</w:t>
            </w:r>
          </w:p>
        </w:tc>
        <w:tc>
          <w:tcPr>
            <w:tcW w:w="1700" w:type="dxa"/>
          </w:tcPr>
          <w:p w14:paraId="2257440F" w14:textId="4164A906" w:rsidR="00B41E51" w:rsidRDefault="002A10FF" w:rsidP="00B41E51">
            <w:pPr>
              <w:pStyle w:val="TableText"/>
              <w:jc w:val="right"/>
              <w:cnfStyle w:val="000000000000" w:firstRow="0" w:lastRow="0" w:firstColumn="0" w:lastColumn="0" w:oddVBand="0" w:evenVBand="0" w:oddHBand="0" w:evenHBand="0" w:firstRowFirstColumn="0" w:firstRowLastColumn="0" w:lastRowFirstColumn="0" w:lastRowLastColumn="0"/>
            </w:pPr>
            <w:r>
              <w:t>1,000.00</w:t>
            </w:r>
          </w:p>
        </w:tc>
        <w:tc>
          <w:tcPr>
            <w:tcW w:w="1700" w:type="dxa"/>
          </w:tcPr>
          <w:p w14:paraId="08DAA821" w14:textId="0D71A72A" w:rsidR="00B41E51" w:rsidRDefault="002A10FF" w:rsidP="00B41E51">
            <w:pPr>
              <w:pStyle w:val="TableText"/>
              <w:jc w:val="right"/>
              <w:cnfStyle w:val="000000000000" w:firstRow="0" w:lastRow="0" w:firstColumn="0" w:lastColumn="0" w:oddVBand="0" w:evenVBand="0" w:oddHBand="0" w:evenHBand="0" w:firstRowFirstColumn="0" w:firstRowLastColumn="0" w:lastRowFirstColumn="0" w:lastRowLastColumn="0"/>
            </w:pPr>
            <w:r>
              <w:t>5,000.00</w:t>
            </w:r>
          </w:p>
        </w:tc>
      </w:tr>
      <w:tr w:rsidR="00B41E51" w14:paraId="54DC5E90" w14:textId="77777777" w:rsidTr="00B41E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Pr>
          <w:p w14:paraId="5F2524E2" w14:textId="77777777" w:rsidR="00B41E51" w:rsidRDefault="00B41E51" w:rsidP="00B41E51">
            <w:pPr>
              <w:pStyle w:val="TableText"/>
            </w:pPr>
          </w:p>
        </w:tc>
        <w:tc>
          <w:tcPr>
            <w:tcW w:w="2264" w:type="dxa"/>
          </w:tcPr>
          <w:p w14:paraId="2F04DB9A" w14:textId="6DA9A9E6" w:rsidR="00B41E51" w:rsidRDefault="00B41E51" w:rsidP="00B41E51">
            <w:pPr>
              <w:pStyle w:val="TableText"/>
              <w:cnfStyle w:val="000000100000" w:firstRow="0" w:lastRow="0" w:firstColumn="0" w:lastColumn="0" w:oddVBand="0" w:evenVBand="0" w:oddHBand="1" w:evenHBand="0" w:firstRowFirstColumn="0" w:firstRowLastColumn="0" w:lastRowFirstColumn="0" w:lastRowLastColumn="0"/>
            </w:pPr>
            <w:r>
              <w:t>1c Jackpots</w:t>
            </w:r>
          </w:p>
        </w:tc>
        <w:tc>
          <w:tcPr>
            <w:tcW w:w="1700" w:type="dxa"/>
          </w:tcPr>
          <w:p w14:paraId="68697331" w14:textId="501F1E00" w:rsidR="00B41E51" w:rsidRDefault="002A10FF" w:rsidP="00B41E51">
            <w:pPr>
              <w:pStyle w:val="TableText"/>
              <w:jc w:val="right"/>
              <w:cnfStyle w:val="000000100000" w:firstRow="0" w:lastRow="0" w:firstColumn="0" w:lastColumn="0" w:oddVBand="0" w:evenVBand="0" w:oddHBand="1" w:evenHBand="0" w:firstRowFirstColumn="0" w:firstRowLastColumn="0" w:lastRowFirstColumn="0" w:lastRowLastColumn="0"/>
            </w:pPr>
            <w:r>
              <w:t>380.00</w:t>
            </w:r>
          </w:p>
        </w:tc>
        <w:tc>
          <w:tcPr>
            <w:tcW w:w="1700" w:type="dxa"/>
          </w:tcPr>
          <w:p w14:paraId="30750D3F" w14:textId="0E7CE833" w:rsidR="00B41E51" w:rsidRDefault="002A10FF" w:rsidP="00B41E51">
            <w:pPr>
              <w:pStyle w:val="TableText"/>
              <w:jc w:val="right"/>
              <w:cnfStyle w:val="000000100000" w:firstRow="0" w:lastRow="0" w:firstColumn="0" w:lastColumn="0" w:oddVBand="0" w:evenVBand="0" w:oddHBand="1" w:evenHBand="0" w:firstRowFirstColumn="0" w:firstRowLastColumn="0" w:lastRowFirstColumn="0" w:lastRowLastColumn="0"/>
            </w:pPr>
            <w:r>
              <w:t>5,500.00</w:t>
            </w:r>
          </w:p>
        </w:tc>
        <w:tc>
          <w:tcPr>
            <w:tcW w:w="1700" w:type="dxa"/>
          </w:tcPr>
          <w:p w14:paraId="1589F9B0" w14:textId="1BE2E30E" w:rsidR="00B41E51" w:rsidRDefault="002A10FF" w:rsidP="00B41E51">
            <w:pPr>
              <w:pStyle w:val="TableText"/>
              <w:jc w:val="right"/>
              <w:cnfStyle w:val="000000100000" w:firstRow="0" w:lastRow="0" w:firstColumn="0" w:lastColumn="0" w:oddVBand="0" w:evenVBand="0" w:oddHBand="1" w:evenHBand="0" w:firstRowFirstColumn="0" w:firstRowLastColumn="0" w:lastRowFirstColumn="0" w:lastRowLastColumn="0"/>
            </w:pPr>
            <w:r>
              <w:t>2,300.00</w:t>
            </w:r>
          </w:p>
        </w:tc>
        <w:tc>
          <w:tcPr>
            <w:tcW w:w="1700" w:type="dxa"/>
          </w:tcPr>
          <w:p w14:paraId="693C9992" w14:textId="6205335E" w:rsidR="00B41E51" w:rsidRDefault="002A10FF" w:rsidP="00B41E51">
            <w:pPr>
              <w:pStyle w:val="TableText"/>
              <w:jc w:val="right"/>
              <w:cnfStyle w:val="000000100000" w:firstRow="0" w:lastRow="0" w:firstColumn="0" w:lastColumn="0" w:oddVBand="0" w:evenVBand="0" w:oddHBand="1" w:evenHBand="0" w:firstRowFirstColumn="0" w:firstRowLastColumn="0" w:lastRowFirstColumn="0" w:lastRowLastColumn="0"/>
            </w:pPr>
            <w:r>
              <w:t>3,580.00</w:t>
            </w:r>
          </w:p>
        </w:tc>
      </w:tr>
      <w:tr w:rsidR="00B41E51" w14:paraId="3503B796" w14:textId="77777777" w:rsidTr="00B41E51">
        <w:tc>
          <w:tcPr>
            <w:cnfStyle w:val="001000000000" w:firstRow="0" w:lastRow="0" w:firstColumn="1" w:lastColumn="0" w:oddVBand="0" w:evenVBand="0" w:oddHBand="0" w:evenHBand="0" w:firstRowFirstColumn="0" w:firstRowLastColumn="0" w:lastRowFirstColumn="0" w:lastRowLastColumn="0"/>
            <w:tcW w:w="1134" w:type="dxa"/>
          </w:tcPr>
          <w:p w14:paraId="3A2A4C08" w14:textId="77777777" w:rsidR="00B41E51" w:rsidRDefault="00B41E51" w:rsidP="00B41E51">
            <w:pPr>
              <w:pStyle w:val="TableText"/>
            </w:pPr>
          </w:p>
        </w:tc>
        <w:tc>
          <w:tcPr>
            <w:tcW w:w="2264" w:type="dxa"/>
          </w:tcPr>
          <w:p w14:paraId="03B3AA8C" w14:textId="6EEF4998" w:rsidR="00B41E51" w:rsidRDefault="00B41E51" w:rsidP="00B41E51">
            <w:pPr>
              <w:pStyle w:val="TableText"/>
              <w:cnfStyle w:val="000000000000" w:firstRow="0" w:lastRow="0" w:firstColumn="0" w:lastColumn="0" w:oddVBand="0" w:evenVBand="0" w:oddHBand="0" w:evenHBand="0" w:firstRowFirstColumn="0" w:firstRowLastColumn="0" w:lastRowFirstColumn="0" w:lastRowLastColumn="0"/>
            </w:pPr>
            <w:r>
              <w:t>Multi</w:t>
            </w:r>
            <w:r w:rsidR="002A10FF">
              <w:t xml:space="preserve"> </w:t>
            </w:r>
            <w:r>
              <w:t>Cash Jac</w:t>
            </w:r>
            <w:r w:rsidR="002A10FF">
              <w:t>k</w:t>
            </w:r>
            <w:r>
              <w:t>pots</w:t>
            </w:r>
          </w:p>
        </w:tc>
        <w:tc>
          <w:tcPr>
            <w:tcW w:w="1700" w:type="dxa"/>
          </w:tcPr>
          <w:p w14:paraId="1EA275F5" w14:textId="17580716" w:rsidR="00B41E51" w:rsidRDefault="002A10FF" w:rsidP="00B41E51">
            <w:pPr>
              <w:pStyle w:val="TableText"/>
              <w:jc w:val="right"/>
              <w:cnfStyle w:val="000000000000" w:firstRow="0" w:lastRow="0" w:firstColumn="0" w:lastColumn="0" w:oddVBand="0" w:evenVBand="0" w:oddHBand="0" w:evenHBand="0" w:firstRowFirstColumn="0" w:firstRowLastColumn="0" w:lastRowFirstColumn="0" w:lastRowLastColumn="0"/>
            </w:pPr>
            <w:r w:rsidRPr="002A10FF">
              <w:rPr>
                <w:color w:val="FF0000"/>
              </w:rPr>
              <w:t>-100.00</w:t>
            </w:r>
          </w:p>
        </w:tc>
        <w:tc>
          <w:tcPr>
            <w:tcW w:w="1700" w:type="dxa"/>
          </w:tcPr>
          <w:p w14:paraId="5993FB37" w14:textId="66E2AA82" w:rsidR="00B41E51" w:rsidRDefault="002A10FF" w:rsidP="00B41E51">
            <w:pPr>
              <w:pStyle w:val="TableText"/>
              <w:jc w:val="right"/>
              <w:cnfStyle w:val="000000000000" w:firstRow="0" w:lastRow="0" w:firstColumn="0" w:lastColumn="0" w:oddVBand="0" w:evenVBand="0" w:oddHBand="0" w:evenHBand="0" w:firstRowFirstColumn="0" w:firstRowLastColumn="0" w:lastRowFirstColumn="0" w:lastRowLastColumn="0"/>
            </w:pPr>
            <w:r>
              <w:t>1,420.00</w:t>
            </w:r>
          </w:p>
        </w:tc>
        <w:tc>
          <w:tcPr>
            <w:tcW w:w="1700" w:type="dxa"/>
          </w:tcPr>
          <w:p w14:paraId="1D194433" w14:textId="6A2D4728" w:rsidR="00B41E51" w:rsidRDefault="002A10FF" w:rsidP="00B41E51">
            <w:pPr>
              <w:pStyle w:val="TableText"/>
              <w:jc w:val="right"/>
              <w:cnfStyle w:val="000000000000" w:firstRow="0" w:lastRow="0" w:firstColumn="0" w:lastColumn="0" w:oddVBand="0" w:evenVBand="0" w:oddHBand="0" w:evenHBand="0" w:firstRowFirstColumn="0" w:firstRowLastColumn="0" w:lastRowFirstColumn="0" w:lastRowLastColumn="0"/>
            </w:pPr>
            <w:r>
              <w:t>-</w:t>
            </w:r>
          </w:p>
        </w:tc>
        <w:tc>
          <w:tcPr>
            <w:tcW w:w="1700" w:type="dxa"/>
          </w:tcPr>
          <w:p w14:paraId="6D5A1C7C" w14:textId="453F966E" w:rsidR="00B41E51" w:rsidRDefault="002A10FF" w:rsidP="00B41E51">
            <w:pPr>
              <w:pStyle w:val="TableText"/>
              <w:jc w:val="right"/>
              <w:cnfStyle w:val="000000000000" w:firstRow="0" w:lastRow="0" w:firstColumn="0" w:lastColumn="0" w:oddVBand="0" w:evenVBand="0" w:oddHBand="0" w:evenHBand="0" w:firstRowFirstColumn="0" w:firstRowLastColumn="0" w:lastRowFirstColumn="0" w:lastRowLastColumn="0"/>
            </w:pPr>
            <w:r>
              <w:t>1,320.00</w:t>
            </w:r>
          </w:p>
        </w:tc>
      </w:tr>
    </w:tbl>
    <w:p w14:paraId="2D14A287" w14:textId="71A24FE5" w:rsidR="002A10FF" w:rsidRDefault="002A10FF" w:rsidP="0081733D">
      <w:pPr>
        <w:rPr>
          <w:lang w:val="en-AU"/>
        </w:rPr>
      </w:pPr>
      <w:r>
        <w:rPr>
          <w:lang w:val="en-AU"/>
        </w:rPr>
        <w:br w:type="page"/>
      </w:r>
    </w:p>
    <w:p w14:paraId="7ADFF76E" w14:textId="396B67FB" w:rsidR="00E57A12" w:rsidRDefault="002A10FF" w:rsidP="002A10FF">
      <w:pPr>
        <w:pStyle w:val="TableLabel"/>
      </w:pPr>
      <w:r>
        <w:lastRenderedPageBreak/>
        <w:t>Table 3: Jackpot special prize pool monitoring</w:t>
      </w:r>
    </w:p>
    <w:p w14:paraId="6880E58B" w14:textId="5DF87BB3" w:rsidR="002A10FF" w:rsidRDefault="002A10FF" w:rsidP="0081733D">
      <w:pPr>
        <w:rPr>
          <w:lang w:val="en-AU"/>
        </w:rPr>
      </w:pPr>
      <w:r>
        <w:rPr>
          <w:lang w:val="en-AU"/>
        </w:rPr>
        <w:t>Suggested table to help monitor the value of the total jackpot special prize pool across the venue.</w:t>
      </w:r>
    </w:p>
    <w:tbl>
      <w:tblPr>
        <w:tblStyle w:val="TableGrid"/>
        <w:tblW w:w="0" w:type="auto"/>
        <w:tblLook w:val="04A0" w:firstRow="1" w:lastRow="0" w:firstColumn="1" w:lastColumn="0" w:noHBand="0" w:noVBand="1"/>
      </w:tblPr>
      <w:tblGrid>
        <w:gridCol w:w="1699"/>
        <w:gridCol w:w="1699"/>
        <w:gridCol w:w="1700"/>
        <w:gridCol w:w="1700"/>
        <w:gridCol w:w="1700"/>
        <w:gridCol w:w="1700"/>
      </w:tblGrid>
      <w:tr w:rsidR="002A10FF" w14:paraId="75E9225B" w14:textId="77777777" w:rsidTr="002A10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9" w:type="dxa"/>
          </w:tcPr>
          <w:p w14:paraId="7492D13D" w14:textId="2D49D560" w:rsidR="002A10FF" w:rsidRDefault="002A10FF" w:rsidP="002A10FF">
            <w:pPr>
              <w:pStyle w:val="TableHeader"/>
            </w:pPr>
            <w:r>
              <w:t>Jackpot name</w:t>
            </w:r>
          </w:p>
        </w:tc>
        <w:tc>
          <w:tcPr>
            <w:tcW w:w="1699" w:type="dxa"/>
          </w:tcPr>
          <w:p w14:paraId="3F72188E" w14:textId="72E5725D" w:rsidR="002A10FF" w:rsidRDefault="002A10FF" w:rsidP="002A10FF">
            <w:pPr>
              <w:pStyle w:val="TableHeader"/>
              <w:cnfStyle w:val="100000000000" w:firstRow="1" w:lastRow="0" w:firstColumn="0" w:lastColumn="0" w:oddVBand="0" w:evenVBand="0" w:oddHBand="0" w:evenHBand="0" w:firstRowFirstColumn="0" w:firstRowLastColumn="0" w:lastRowFirstColumn="0" w:lastRowLastColumn="0"/>
            </w:pPr>
            <w:r>
              <w:t>Start date</w:t>
            </w:r>
          </w:p>
        </w:tc>
        <w:tc>
          <w:tcPr>
            <w:tcW w:w="1700" w:type="dxa"/>
          </w:tcPr>
          <w:p w14:paraId="1724E21F" w14:textId="7A16E88D" w:rsidR="002A10FF" w:rsidRDefault="002A10FF" w:rsidP="002A10FF">
            <w:pPr>
              <w:pStyle w:val="TableHeader"/>
              <w:cnfStyle w:val="100000000000" w:firstRow="1" w:lastRow="0" w:firstColumn="0" w:lastColumn="0" w:oddVBand="0" w:evenVBand="0" w:oddHBand="0" w:evenHBand="0" w:firstRowFirstColumn="0" w:firstRowLastColumn="0" w:lastRowFirstColumn="0" w:lastRowLastColumn="0"/>
            </w:pPr>
            <w:r>
              <w:t>End date</w:t>
            </w:r>
          </w:p>
        </w:tc>
        <w:tc>
          <w:tcPr>
            <w:tcW w:w="1700" w:type="dxa"/>
          </w:tcPr>
          <w:p w14:paraId="5C7AB6F4" w14:textId="77777777" w:rsidR="002A10FF" w:rsidRDefault="002A10FF" w:rsidP="002A10FF">
            <w:pPr>
              <w:pStyle w:val="TableHeader"/>
              <w:cnfStyle w:val="100000000000" w:firstRow="1" w:lastRow="0" w:firstColumn="0" w:lastColumn="0" w:oddVBand="0" w:evenVBand="0" w:oddHBand="0" w:evenHBand="0" w:firstRowFirstColumn="0" w:firstRowLastColumn="0" w:lastRowFirstColumn="0" w:lastRowLastColumn="0"/>
            </w:pPr>
            <w:r>
              <w:t xml:space="preserve">Total jackpot contribution </w:t>
            </w:r>
          </w:p>
          <w:p w14:paraId="7D036D44" w14:textId="6EE462AD" w:rsidR="002A10FF" w:rsidRDefault="002A10FF" w:rsidP="002A10FF">
            <w:pPr>
              <w:pStyle w:val="TableHeader"/>
              <w:cnfStyle w:val="100000000000" w:firstRow="1" w:lastRow="0" w:firstColumn="0" w:lastColumn="0" w:oddVBand="0" w:evenVBand="0" w:oddHBand="0" w:evenHBand="0" w:firstRowFirstColumn="0" w:firstRowLastColumn="0" w:lastRowFirstColumn="0" w:lastRowLastColumn="0"/>
            </w:pPr>
            <w:r>
              <w:t>(a)</w:t>
            </w:r>
          </w:p>
        </w:tc>
        <w:tc>
          <w:tcPr>
            <w:tcW w:w="1700" w:type="dxa"/>
          </w:tcPr>
          <w:p w14:paraId="1F907E84" w14:textId="77777777" w:rsidR="002A10FF" w:rsidRDefault="002A10FF" w:rsidP="002A10FF">
            <w:pPr>
              <w:pStyle w:val="TableHeader"/>
              <w:cnfStyle w:val="100000000000" w:firstRow="1" w:lastRow="0" w:firstColumn="0" w:lastColumn="0" w:oddVBand="0" w:evenVBand="0" w:oddHBand="0" w:evenHBand="0" w:firstRowFirstColumn="0" w:firstRowLastColumn="0" w:lastRowFirstColumn="0" w:lastRowLastColumn="0"/>
            </w:pPr>
            <w:r>
              <w:t xml:space="preserve">Total jackpot win </w:t>
            </w:r>
          </w:p>
          <w:p w14:paraId="0783B7C7" w14:textId="50062CAB" w:rsidR="002A10FF" w:rsidRDefault="002A10FF" w:rsidP="002A10FF">
            <w:pPr>
              <w:pStyle w:val="TableHeader"/>
              <w:cnfStyle w:val="100000000000" w:firstRow="1" w:lastRow="0" w:firstColumn="0" w:lastColumn="0" w:oddVBand="0" w:evenVBand="0" w:oddHBand="0" w:evenHBand="0" w:firstRowFirstColumn="0" w:firstRowLastColumn="0" w:lastRowFirstColumn="0" w:lastRowLastColumn="0"/>
            </w:pPr>
            <w:r>
              <w:t>(b)</w:t>
            </w:r>
          </w:p>
        </w:tc>
        <w:tc>
          <w:tcPr>
            <w:tcW w:w="1700" w:type="dxa"/>
          </w:tcPr>
          <w:p w14:paraId="1E3106BA" w14:textId="77777777" w:rsidR="002A10FF" w:rsidRDefault="002A10FF" w:rsidP="002A10FF">
            <w:pPr>
              <w:pStyle w:val="TableHeader"/>
              <w:cnfStyle w:val="100000000000" w:firstRow="1" w:lastRow="0" w:firstColumn="0" w:lastColumn="0" w:oddVBand="0" w:evenVBand="0" w:oddHBand="0" w:evenHBand="0" w:firstRowFirstColumn="0" w:firstRowLastColumn="0" w:lastRowFirstColumn="0" w:lastRowLastColumn="0"/>
            </w:pPr>
            <w:r>
              <w:t xml:space="preserve">Jackpot pool balance </w:t>
            </w:r>
          </w:p>
          <w:p w14:paraId="632DFA53" w14:textId="5111B6CE" w:rsidR="002A10FF" w:rsidRDefault="002A10FF" w:rsidP="002A10FF">
            <w:pPr>
              <w:pStyle w:val="TableHeader"/>
              <w:cnfStyle w:val="100000000000" w:firstRow="1" w:lastRow="0" w:firstColumn="0" w:lastColumn="0" w:oddVBand="0" w:evenVBand="0" w:oddHBand="0" w:evenHBand="0" w:firstRowFirstColumn="0" w:firstRowLastColumn="0" w:lastRowFirstColumn="0" w:lastRowLastColumn="0"/>
            </w:pPr>
            <w:r>
              <w:t>(a)-(b)</w:t>
            </w:r>
          </w:p>
        </w:tc>
      </w:tr>
      <w:tr w:rsidR="002A10FF" w14:paraId="28219715" w14:textId="77777777" w:rsidTr="002A10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9" w:type="dxa"/>
          </w:tcPr>
          <w:p w14:paraId="5C45EE69" w14:textId="590967C6" w:rsidR="002A10FF" w:rsidRDefault="002A10FF" w:rsidP="002A10FF">
            <w:pPr>
              <w:pStyle w:val="TableText"/>
            </w:pPr>
            <w:r>
              <w:t>Cash Express</w:t>
            </w:r>
          </w:p>
        </w:tc>
        <w:tc>
          <w:tcPr>
            <w:tcW w:w="1699" w:type="dxa"/>
          </w:tcPr>
          <w:p w14:paraId="01D806F8" w14:textId="27AE6D8B" w:rsidR="002A10FF" w:rsidRDefault="002A10FF" w:rsidP="002A10FF">
            <w:pPr>
              <w:pStyle w:val="TableText"/>
              <w:cnfStyle w:val="000000100000" w:firstRow="0" w:lastRow="0" w:firstColumn="0" w:lastColumn="0" w:oddVBand="0" w:evenVBand="0" w:oddHBand="1" w:evenHBand="0" w:firstRowFirstColumn="0" w:firstRowLastColumn="0" w:lastRowFirstColumn="0" w:lastRowLastColumn="0"/>
            </w:pPr>
            <w:r>
              <w:t xml:space="preserve">1 Feb </w:t>
            </w:r>
            <w:r w:rsidR="00363078">
              <w:t>22</w:t>
            </w:r>
          </w:p>
        </w:tc>
        <w:tc>
          <w:tcPr>
            <w:tcW w:w="1700" w:type="dxa"/>
          </w:tcPr>
          <w:p w14:paraId="578FFCE2" w14:textId="5D91C811" w:rsidR="002A10FF" w:rsidRDefault="002A10FF" w:rsidP="002A10FF">
            <w:pPr>
              <w:pStyle w:val="TableText"/>
              <w:cnfStyle w:val="000000100000" w:firstRow="0" w:lastRow="0" w:firstColumn="0" w:lastColumn="0" w:oddVBand="0" w:evenVBand="0" w:oddHBand="1" w:evenHBand="0" w:firstRowFirstColumn="0" w:firstRowLastColumn="0" w:lastRowFirstColumn="0" w:lastRowLastColumn="0"/>
            </w:pPr>
            <w:r>
              <w:t>1 Mar 18</w:t>
            </w:r>
          </w:p>
        </w:tc>
        <w:tc>
          <w:tcPr>
            <w:tcW w:w="1700" w:type="dxa"/>
          </w:tcPr>
          <w:p w14:paraId="49E54B10" w14:textId="6309DBCA" w:rsidR="002A10FF" w:rsidRDefault="002A10FF" w:rsidP="002A10FF">
            <w:pPr>
              <w:pStyle w:val="TableText"/>
              <w:jc w:val="right"/>
              <w:cnfStyle w:val="000000100000" w:firstRow="0" w:lastRow="0" w:firstColumn="0" w:lastColumn="0" w:oddVBand="0" w:evenVBand="0" w:oddHBand="1" w:evenHBand="0" w:firstRowFirstColumn="0" w:firstRowLastColumn="0" w:lastRowFirstColumn="0" w:lastRowLastColumn="0"/>
            </w:pPr>
            <w:r>
              <w:t>10,000.00</w:t>
            </w:r>
          </w:p>
        </w:tc>
        <w:tc>
          <w:tcPr>
            <w:tcW w:w="1700" w:type="dxa"/>
          </w:tcPr>
          <w:p w14:paraId="7C7D70F0" w14:textId="026B432B" w:rsidR="002A10FF" w:rsidRDefault="002A10FF" w:rsidP="002A10FF">
            <w:pPr>
              <w:pStyle w:val="TableText"/>
              <w:jc w:val="right"/>
              <w:cnfStyle w:val="000000100000" w:firstRow="0" w:lastRow="0" w:firstColumn="0" w:lastColumn="0" w:oddVBand="0" w:evenVBand="0" w:oddHBand="1" w:evenHBand="0" w:firstRowFirstColumn="0" w:firstRowLastColumn="0" w:lastRowFirstColumn="0" w:lastRowLastColumn="0"/>
            </w:pPr>
            <w:r>
              <w:t>5,800.00</w:t>
            </w:r>
          </w:p>
        </w:tc>
        <w:tc>
          <w:tcPr>
            <w:tcW w:w="1700" w:type="dxa"/>
          </w:tcPr>
          <w:p w14:paraId="73629601" w14:textId="7ED01F41" w:rsidR="002A10FF" w:rsidRDefault="002A10FF" w:rsidP="002A10FF">
            <w:pPr>
              <w:pStyle w:val="TableText"/>
              <w:jc w:val="right"/>
              <w:cnfStyle w:val="000000100000" w:firstRow="0" w:lastRow="0" w:firstColumn="0" w:lastColumn="0" w:oddVBand="0" w:evenVBand="0" w:oddHBand="1" w:evenHBand="0" w:firstRowFirstColumn="0" w:firstRowLastColumn="0" w:lastRowFirstColumn="0" w:lastRowLastColumn="0"/>
            </w:pPr>
            <w:r>
              <w:t>4,200.00</w:t>
            </w:r>
          </w:p>
        </w:tc>
      </w:tr>
      <w:tr w:rsidR="002A10FF" w14:paraId="4E4F974F" w14:textId="77777777" w:rsidTr="002A10FF">
        <w:tc>
          <w:tcPr>
            <w:cnfStyle w:val="001000000000" w:firstRow="0" w:lastRow="0" w:firstColumn="1" w:lastColumn="0" w:oddVBand="0" w:evenVBand="0" w:oddHBand="0" w:evenHBand="0" w:firstRowFirstColumn="0" w:firstRowLastColumn="0" w:lastRowFirstColumn="0" w:lastRowLastColumn="0"/>
            <w:tcW w:w="1699" w:type="dxa"/>
          </w:tcPr>
          <w:p w14:paraId="5DE62904" w14:textId="58DEF4F7" w:rsidR="002A10FF" w:rsidRDefault="002A10FF" w:rsidP="002A10FF">
            <w:pPr>
              <w:pStyle w:val="TableText"/>
            </w:pPr>
            <w:r>
              <w:t>Showcase Jackpots</w:t>
            </w:r>
          </w:p>
        </w:tc>
        <w:tc>
          <w:tcPr>
            <w:tcW w:w="1699" w:type="dxa"/>
          </w:tcPr>
          <w:p w14:paraId="61C06ADF" w14:textId="0C4E6736" w:rsidR="002A10FF" w:rsidRDefault="002A10FF" w:rsidP="002A10FF">
            <w:pPr>
              <w:pStyle w:val="TableText"/>
              <w:cnfStyle w:val="000000000000" w:firstRow="0" w:lastRow="0" w:firstColumn="0" w:lastColumn="0" w:oddVBand="0" w:evenVBand="0" w:oddHBand="0" w:evenHBand="0" w:firstRowFirstColumn="0" w:firstRowLastColumn="0" w:lastRowFirstColumn="0" w:lastRowLastColumn="0"/>
            </w:pPr>
            <w:r>
              <w:t xml:space="preserve">1 Feb </w:t>
            </w:r>
            <w:r w:rsidR="00363078">
              <w:t>22</w:t>
            </w:r>
          </w:p>
        </w:tc>
        <w:tc>
          <w:tcPr>
            <w:tcW w:w="1700" w:type="dxa"/>
          </w:tcPr>
          <w:p w14:paraId="2DD0E6D9" w14:textId="7D00CFD0" w:rsidR="002A10FF" w:rsidRDefault="002A10FF" w:rsidP="002A10FF">
            <w:pPr>
              <w:pStyle w:val="TableText"/>
              <w:cnfStyle w:val="000000000000" w:firstRow="0" w:lastRow="0" w:firstColumn="0" w:lastColumn="0" w:oddVBand="0" w:evenVBand="0" w:oddHBand="0" w:evenHBand="0" w:firstRowFirstColumn="0" w:firstRowLastColumn="0" w:lastRowFirstColumn="0" w:lastRowLastColumn="0"/>
            </w:pPr>
            <w:r>
              <w:t>15 Mar 18</w:t>
            </w:r>
          </w:p>
        </w:tc>
        <w:tc>
          <w:tcPr>
            <w:tcW w:w="1700" w:type="dxa"/>
          </w:tcPr>
          <w:p w14:paraId="4234D3A5" w14:textId="18448C70" w:rsidR="002A10FF" w:rsidRDefault="002A10FF" w:rsidP="002A10FF">
            <w:pPr>
              <w:pStyle w:val="TableText"/>
              <w:jc w:val="right"/>
              <w:cnfStyle w:val="000000000000" w:firstRow="0" w:lastRow="0" w:firstColumn="0" w:lastColumn="0" w:oddVBand="0" w:evenVBand="0" w:oddHBand="0" w:evenHBand="0" w:firstRowFirstColumn="0" w:firstRowLastColumn="0" w:lastRowFirstColumn="0" w:lastRowLastColumn="0"/>
            </w:pPr>
            <w:r>
              <w:t>12,000.00</w:t>
            </w:r>
          </w:p>
        </w:tc>
        <w:tc>
          <w:tcPr>
            <w:tcW w:w="1700" w:type="dxa"/>
          </w:tcPr>
          <w:p w14:paraId="7FA83F59" w14:textId="3D6ED51E" w:rsidR="002A10FF" w:rsidRDefault="002A10FF" w:rsidP="002A10FF">
            <w:pPr>
              <w:pStyle w:val="TableText"/>
              <w:jc w:val="right"/>
              <w:cnfStyle w:val="000000000000" w:firstRow="0" w:lastRow="0" w:firstColumn="0" w:lastColumn="0" w:oddVBand="0" w:evenVBand="0" w:oddHBand="0" w:evenHBand="0" w:firstRowFirstColumn="0" w:firstRowLastColumn="0" w:lastRowFirstColumn="0" w:lastRowLastColumn="0"/>
            </w:pPr>
            <w:r>
              <w:t>15,000.00</w:t>
            </w:r>
          </w:p>
        </w:tc>
        <w:tc>
          <w:tcPr>
            <w:tcW w:w="1700" w:type="dxa"/>
          </w:tcPr>
          <w:p w14:paraId="74933470" w14:textId="0128D356" w:rsidR="002A10FF" w:rsidRDefault="002A10FF" w:rsidP="002A10FF">
            <w:pPr>
              <w:pStyle w:val="TableText"/>
              <w:jc w:val="right"/>
              <w:cnfStyle w:val="000000000000" w:firstRow="0" w:lastRow="0" w:firstColumn="0" w:lastColumn="0" w:oddVBand="0" w:evenVBand="0" w:oddHBand="0" w:evenHBand="0" w:firstRowFirstColumn="0" w:firstRowLastColumn="0" w:lastRowFirstColumn="0" w:lastRowLastColumn="0"/>
            </w:pPr>
            <w:r>
              <w:t>-3,000.00</w:t>
            </w:r>
          </w:p>
        </w:tc>
      </w:tr>
      <w:tr w:rsidR="002A10FF" w14:paraId="03698037" w14:textId="77777777" w:rsidTr="002A10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9" w:type="dxa"/>
          </w:tcPr>
          <w:p w14:paraId="743F3F2D" w14:textId="7C687FFE" w:rsidR="002A10FF" w:rsidRDefault="002A10FF" w:rsidP="002A10FF">
            <w:pPr>
              <w:pStyle w:val="TableText"/>
            </w:pPr>
            <w:r>
              <w:t>Player’s Paradise</w:t>
            </w:r>
          </w:p>
        </w:tc>
        <w:tc>
          <w:tcPr>
            <w:tcW w:w="1699" w:type="dxa"/>
          </w:tcPr>
          <w:p w14:paraId="3967847B" w14:textId="7F0C9663" w:rsidR="002A10FF" w:rsidRDefault="002A10FF" w:rsidP="002A10FF">
            <w:pPr>
              <w:pStyle w:val="TableText"/>
              <w:cnfStyle w:val="000000100000" w:firstRow="0" w:lastRow="0" w:firstColumn="0" w:lastColumn="0" w:oddVBand="0" w:evenVBand="0" w:oddHBand="1" w:evenHBand="0" w:firstRowFirstColumn="0" w:firstRowLastColumn="0" w:lastRowFirstColumn="0" w:lastRowLastColumn="0"/>
            </w:pPr>
            <w:r>
              <w:t xml:space="preserve">1 Feb </w:t>
            </w:r>
            <w:r w:rsidR="00363078">
              <w:t>22</w:t>
            </w:r>
          </w:p>
        </w:tc>
        <w:tc>
          <w:tcPr>
            <w:tcW w:w="1700" w:type="dxa"/>
          </w:tcPr>
          <w:p w14:paraId="53522226" w14:textId="77777777" w:rsidR="002A10FF" w:rsidRDefault="002A10FF" w:rsidP="002A10FF">
            <w:pPr>
              <w:pStyle w:val="TableText"/>
              <w:cnfStyle w:val="000000100000" w:firstRow="0" w:lastRow="0" w:firstColumn="0" w:lastColumn="0" w:oddVBand="0" w:evenVBand="0" w:oddHBand="1" w:evenHBand="0" w:firstRowFirstColumn="0" w:firstRowLastColumn="0" w:lastRowFirstColumn="0" w:lastRowLastColumn="0"/>
            </w:pPr>
          </w:p>
        </w:tc>
        <w:tc>
          <w:tcPr>
            <w:tcW w:w="1700" w:type="dxa"/>
          </w:tcPr>
          <w:p w14:paraId="10F4DFE1" w14:textId="77777777" w:rsidR="002A10FF" w:rsidRDefault="002A10FF" w:rsidP="002A10FF">
            <w:pPr>
              <w:pStyle w:val="TableText"/>
              <w:jc w:val="right"/>
              <w:cnfStyle w:val="000000100000" w:firstRow="0" w:lastRow="0" w:firstColumn="0" w:lastColumn="0" w:oddVBand="0" w:evenVBand="0" w:oddHBand="1" w:evenHBand="0" w:firstRowFirstColumn="0" w:firstRowLastColumn="0" w:lastRowFirstColumn="0" w:lastRowLastColumn="0"/>
            </w:pPr>
          </w:p>
        </w:tc>
        <w:tc>
          <w:tcPr>
            <w:tcW w:w="1700" w:type="dxa"/>
          </w:tcPr>
          <w:p w14:paraId="1D3D6693" w14:textId="77777777" w:rsidR="002A10FF" w:rsidRDefault="002A10FF" w:rsidP="002A10FF">
            <w:pPr>
              <w:pStyle w:val="TableText"/>
              <w:jc w:val="right"/>
              <w:cnfStyle w:val="000000100000" w:firstRow="0" w:lastRow="0" w:firstColumn="0" w:lastColumn="0" w:oddVBand="0" w:evenVBand="0" w:oddHBand="1" w:evenHBand="0" w:firstRowFirstColumn="0" w:firstRowLastColumn="0" w:lastRowFirstColumn="0" w:lastRowLastColumn="0"/>
            </w:pPr>
          </w:p>
        </w:tc>
        <w:tc>
          <w:tcPr>
            <w:tcW w:w="1700" w:type="dxa"/>
          </w:tcPr>
          <w:p w14:paraId="5794D2D8" w14:textId="77777777" w:rsidR="002A10FF" w:rsidRDefault="002A10FF" w:rsidP="002A10FF">
            <w:pPr>
              <w:pStyle w:val="TableText"/>
              <w:jc w:val="right"/>
              <w:cnfStyle w:val="000000100000" w:firstRow="0" w:lastRow="0" w:firstColumn="0" w:lastColumn="0" w:oddVBand="0" w:evenVBand="0" w:oddHBand="1" w:evenHBand="0" w:firstRowFirstColumn="0" w:firstRowLastColumn="0" w:lastRowFirstColumn="0" w:lastRowLastColumn="0"/>
            </w:pPr>
          </w:p>
        </w:tc>
      </w:tr>
      <w:tr w:rsidR="002A10FF" w14:paraId="7AA2AABD" w14:textId="77777777" w:rsidTr="002A10FF">
        <w:tc>
          <w:tcPr>
            <w:cnfStyle w:val="001000000000" w:firstRow="0" w:lastRow="0" w:firstColumn="1" w:lastColumn="0" w:oddVBand="0" w:evenVBand="0" w:oddHBand="0" w:evenHBand="0" w:firstRowFirstColumn="0" w:firstRowLastColumn="0" w:lastRowFirstColumn="0" w:lastRowLastColumn="0"/>
            <w:tcW w:w="1699" w:type="dxa"/>
          </w:tcPr>
          <w:p w14:paraId="51542157" w14:textId="5003326D" w:rsidR="002A10FF" w:rsidRDefault="002A10FF" w:rsidP="002A10FF">
            <w:pPr>
              <w:pStyle w:val="TableText"/>
            </w:pPr>
            <w:r>
              <w:t>1c Jackpots</w:t>
            </w:r>
          </w:p>
        </w:tc>
        <w:tc>
          <w:tcPr>
            <w:tcW w:w="1699" w:type="dxa"/>
          </w:tcPr>
          <w:p w14:paraId="238FE518" w14:textId="44DF78CD" w:rsidR="002A10FF" w:rsidRDefault="002A10FF" w:rsidP="002A10FF">
            <w:pPr>
              <w:pStyle w:val="TableText"/>
              <w:cnfStyle w:val="000000000000" w:firstRow="0" w:lastRow="0" w:firstColumn="0" w:lastColumn="0" w:oddVBand="0" w:evenVBand="0" w:oddHBand="0" w:evenHBand="0" w:firstRowFirstColumn="0" w:firstRowLastColumn="0" w:lastRowFirstColumn="0" w:lastRowLastColumn="0"/>
            </w:pPr>
            <w:r>
              <w:t xml:space="preserve">1 Feb </w:t>
            </w:r>
            <w:r w:rsidR="00363078">
              <w:t>22</w:t>
            </w:r>
          </w:p>
        </w:tc>
        <w:tc>
          <w:tcPr>
            <w:tcW w:w="1700" w:type="dxa"/>
          </w:tcPr>
          <w:p w14:paraId="62547F11" w14:textId="77777777" w:rsidR="002A10FF" w:rsidRDefault="002A10FF" w:rsidP="002A10FF">
            <w:pPr>
              <w:pStyle w:val="TableText"/>
              <w:cnfStyle w:val="000000000000" w:firstRow="0" w:lastRow="0" w:firstColumn="0" w:lastColumn="0" w:oddVBand="0" w:evenVBand="0" w:oddHBand="0" w:evenHBand="0" w:firstRowFirstColumn="0" w:firstRowLastColumn="0" w:lastRowFirstColumn="0" w:lastRowLastColumn="0"/>
            </w:pPr>
          </w:p>
        </w:tc>
        <w:tc>
          <w:tcPr>
            <w:tcW w:w="1700" w:type="dxa"/>
          </w:tcPr>
          <w:p w14:paraId="5E9B959A" w14:textId="77777777" w:rsidR="002A10FF" w:rsidRDefault="002A10FF" w:rsidP="002A10FF">
            <w:pPr>
              <w:pStyle w:val="TableText"/>
              <w:jc w:val="right"/>
              <w:cnfStyle w:val="000000000000" w:firstRow="0" w:lastRow="0" w:firstColumn="0" w:lastColumn="0" w:oddVBand="0" w:evenVBand="0" w:oddHBand="0" w:evenHBand="0" w:firstRowFirstColumn="0" w:firstRowLastColumn="0" w:lastRowFirstColumn="0" w:lastRowLastColumn="0"/>
            </w:pPr>
          </w:p>
        </w:tc>
        <w:tc>
          <w:tcPr>
            <w:tcW w:w="1700" w:type="dxa"/>
          </w:tcPr>
          <w:p w14:paraId="11C71A67" w14:textId="77777777" w:rsidR="002A10FF" w:rsidRDefault="002A10FF" w:rsidP="002A10FF">
            <w:pPr>
              <w:pStyle w:val="TableText"/>
              <w:jc w:val="right"/>
              <w:cnfStyle w:val="000000000000" w:firstRow="0" w:lastRow="0" w:firstColumn="0" w:lastColumn="0" w:oddVBand="0" w:evenVBand="0" w:oddHBand="0" w:evenHBand="0" w:firstRowFirstColumn="0" w:firstRowLastColumn="0" w:lastRowFirstColumn="0" w:lastRowLastColumn="0"/>
            </w:pPr>
          </w:p>
        </w:tc>
        <w:tc>
          <w:tcPr>
            <w:tcW w:w="1700" w:type="dxa"/>
          </w:tcPr>
          <w:p w14:paraId="1E4C92A6" w14:textId="77777777" w:rsidR="002A10FF" w:rsidRDefault="002A10FF" w:rsidP="002A10FF">
            <w:pPr>
              <w:pStyle w:val="TableText"/>
              <w:jc w:val="right"/>
              <w:cnfStyle w:val="000000000000" w:firstRow="0" w:lastRow="0" w:firstColumn="0" w:lastColumn="0" w:oddVBand="0" w:evenVBand="0" w:oddHBand="0" w:evenHBand="0" w:firstRowFirstColumn="0" w:firstRowLastColumn="0" w:lastRowFirstColumn="0" w:lastRowLastColumn="0"/>
            </w:pPr>
          </w:p>
        </w:tc>
      </w:tr>
      <w:tr w:rsidR="002A10FF" w14:paraId="7C82002D" w14:textId="77777777" w:rsidTr="002A10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9" w:type="dxa"/>
          </w:tcPr>
          <w:p w14:paraId="15AA0567" w14:textId="25B262E1" w:rsidR="002A10FF" w:rsidRDefault="002A10FF" w:rsidP="002A10FF">
            <w:pPr>
              <w:pStyle w:val="TableText"/>
            </w:pPr>
            <w:r>
              <w:t>Multi Cash Jackpots</w:t>
            </w:r>
          </w:p>
        </w:tc>
        <w:tc>
          <w:tcPr>
            <w:tcW w:w="1699" w:type="dxa"/>
          </w:tcPr>
          <w:p w14:paraId="369DF95D" w14:textId="686B24E3" w:rsidR="002A10FF" w:rsidRDefault="002A10FF" w:rsidP="002A10FF">
            <w:pPr>
              <w:pStyle w:val="TableText"/>
              <w:cnfStyle w:val="000000100000" w:firstRow="0" w:lastRow="0" w:firstColumn="0" w:lastColumn="0" w:oddVBand="0" w:evenVBand="0" w:oddHBand="1" w:evenHBand="0" w:firstRowFirstColumn="0" w:firstRowLastColumn="0" w:lastRowFirstColumn="0" w:lastRowLastColumn="0"/>
            </w:pPr>
            <w:r>
              <w:t xml:space="preserve">1 Feb </w:t>
            </w:r>
            <w:r w:rsidR="00363078">
              <w:t>22</w:t>
            </w:r>
          </w:p>
        </w:tc>
        <w:tc>
          <w:tcPr>
            <w:tcW w:w="1700" w:type="dxa"/>
          </w:tcPr>
          <w:p w14:paraId="6574406C" w14:textId="77777777" w:rsidR="002A10FF" w:rsidRDefault="002A10FF" w:rsidP="002A10FF">
            <w:pPr>
              <w:pStyle w:val="TableText"/>
              <w:cnfStyle w:val="000000100000" w:firstRow="0" w:lastRow="0" w:firstColumn="0" w:lastColumn="0" w:oddVBand="0" w:evenVBand="0" w:oddHBand="1" w:evenHBand="0" w:firstRowFirstColumn="0" w:firstRowLastColumn="0" w:lastRowFirstColumn="0" w:lastRowLastColumn="0"/>
            </w:pPr>
          </w:p>
        </w:tc>
        <w:tc>
          <w:tcPr>
            <w:tcW w:w="1700" w:type="dxa"/>
          </w:tcPr>
          <w:p w14:paraId="37D84EB2" w14:textId="77777777" w:rsidR="002A10FF" w:rsidRDefault="002A10FF" w:rsidP="002A10FF">
            <w:pPr>
              <w:pStyle w:val="TableText"/>
              <w:jc w:val="right"/>
              <w:cnfStyle w:val="000000100000" w:firstRow="0" w:lastRow="0" w:firstColumn="0" w:lastColumn="0" w:oddVBand="0" w:evenVBand="0" w:oddHBand="1" w:evenHBand="0" w:firstRowFirstColumn="0" w:firstRowLastColumn="0" w:lastRowFirstColumn="0" w:lastRowLastColumn="0"/>
            </w:pPr>
          </w:p>
        </w:tc>
        <w:tc>
          <w:tcPr>
            <w:tcW w:w="1700" w:type="dxa"/>
          </w:tcPr>
          <w:p w14:paraId="004FC5E1" w14:textId="77777777" w:rsidR="002A10FF" w:rsidRDefault="002A10FF" w:rsidP="002A10FF">
            <w:pPr>
              <w:pStyle w:val="TableText"/>
              <w:jc w:val="right"/>
              <w:cnfStyle w:val="000000100000" w:firstRow="0" w:lastRow="0" w:firstColumn="0" w:lastColumn="0" w:oddVBand="0" w:evenVBand="0" w:oddHBand="1" w:evenHBand="0" w:firstRowFirstColumn="0" w:firstRowLastColumn="0" w:lastRowFirstColumn="0" w:lastRowLastColumn="0"/>
            </w:pPr>
          </w:p>
        </w:tc>
        <w:tc>
          <w:tcPr>
            <w:tcW w:w="1700" w:type="dxa"/>
          </w:tcPr>
          <w:p w14:paraId="0F66F998" w14:textId="77777777" w:rsidR="002A10FF" w:rsidRDefault="002A10FF" w:rsidP="002A10FF">
            <w:pPr>
              <w:pStyle w:val="TableText"/>
              <w:jc w:val="right"/>
              <w:cnfStyle w:val="000000100000" w:firstRow="0" w:lastRow="0" w:firstColumn="0" w:lastColumn="0" w:oddVBand="0" w:evenVBand="0" w:oddHBand="1" w:evenHBand="0" w:firstRowFirstColumn="0" w:firstRowLastColumn="0" w:lastRowFirstColumn="0" w:lastRowLastColumn="0"/>
            </w:pPr>
          </w:p>
        </w:tc>
      </w:tr>
      <w:tr w:rsidR="002A10FF" w14:paraId="5F5A5C37" w14:textId="77777777" w:rsidTr="002A10FF">
        <w:tc>
          <w:tcPr>
            <w:cnfStyle w:val="001000000000" w:firstRow="0" w:lastRow="0" w:firstColumn="1" w:lastColumn="0" w:oddVBand="0" w:evenVBand="0" w:oddHBand="0" w:evenHBand="0" w:firstRowFirstColumn="0" w:firstRowLastColumn="0" w:lastRowFirstColumn="0" w:lastRowLastColumn="0"/>
            <w:tcW w:w="1699" w:type="dxa"/>
          </w:tcPr>
          <w:p w14:paraId="3B57CC3F" w14:textId="19CE4815" w:rsidR="002A10FF" w:rsidRPr="002A10FF" w:rsidRDefault="002A10FF" w:rsidP="002A10FF">
            <w:pPr>
              <w:pStyle w:val="TableText"/>
              <w:rPr>
                <w:b/>
                <w:bCs/>
              </w:rPr>
            </w:pPr>
            <w:r w:rsidRPr="002A10FF">
              <w:rPr>
                <w:b/>
                <w:bCs/>
              </w:rPr>
              <w:t>Total JSPP for venue</w:t>
            </w:r>
          </w:p>
        </w:tc>
        <w:tc>
          <w:tcPr>
            <w:tcW w:w="1699" w:type="dxa"/>
          </w:tcPr>
          <w:p w14:paraId="3243544B" w14:textId="77777777" w:rsidR="002A10FF" w:rsidRPr="002A10FF" w:rsidRDefault="002A10FF" w:rsidP="002A10FF">
            <w:pPr>
              <w:pStyle w:val="TableText"/>
              <w:cnfStyle w:val="000000000000" w:firstRow="0" w:lastRow="0" w:firstColumn="0" w:lastColumn="0" w:oddVBand="0" w:evenVBand="0" w:oddHBand="0" w:evenHBand="0" w:firstRowFirstColumn="0" w:firstRowLastColumn="0" w:lastRowFirstColumn="0" w:lastRowLastColumn="0"/>
              <w:rPr>
                <w:b/>
                <w:bCs/>
              </w:rPr>
            </w:pPr>
          </w:p>
        </w:tc>
        <w:tc>
          <w:tcPr>
            <w:tcW w:w="1700" w:type="dxa"/>
          </w:tcPr>
          <w:p w14:paraId="5C059F0E" w14:textId="77777777" w:rsidR="002A10FF" w:rsidRPr="002A10FF" w:rsidRDefault="002A10FF" w:rsidP="002A10FF">
            <w:pPr>
              <w:pStyle w:val="TableText"/>
              <w:cnfStyle w:val="000000000000" w:firstRow="0" w:lastRow="0" w:firstColumn="0" w:lastColumn="0" w:oddVBand="0" w:evenVBand="0" w:oddHBand="0" w:evenHBand="0" w:firstRowFirstColumn="0" w:firstRowLastColumn="0" w:lastRowFirstColumn="0" w:lastRowLastColumn="0"/>
              <w:rPr>
                <w:b/>
                <w:bCs/>
              </w:rPr>
            </w:pPr>
          </w:p>
        </w:tc>
        <w:tc>
          <w:tcPr>
            <w:tcW w:w="1700" w:type="dxa"/>
          </w:tcPr>
          <w:p w14:paraId="5EB3C5CF" w14:textId="77777777" w:rsidR="002A10FF" w:rsidRPr="002A10FF" w:rsidRDefault="002A10FF" w:rsidP="002A10FF">
            <w:pPr>
              <w:pStyle w:val="TableText"/>
              <w:jc w:val="right"/>
              <w:cnfStyle w:val="000000000000" w:firstRow="0" w:lastRow="0" w:firstColumn="0" w:lastColumn="0" w:oddVBand="0" w:evenVBand="0" w:oddHBand="0" w:evenHBand="0" w:firstRowFirstColumn="0" w:firstRowLastColumn="0" w:lastRowFirstColumn="0" w:lastRowLastColumn="0"/>
              <w:rPr>
                <w:b/>
                <w:bCs/>
              </w:rPr>
            </w:pPr>
          </w:p>
        </w:tc>
        <w:tc>
          <w:tcPr>
            <w:tcW w:w="1700" w:type="dxa"/>
          </w:tcPr>
          <w:p w14:paraId="31B87B5B" w14:textId="77777777" w:rsidR="002A10FF" w:rsidRPr="002A10FF" w:rsidRDefault="002A10FF" w:rsidP="002A10FF">
            <w:pPr>
              <w:pStyle w:val="TableText"/>
              <w:jc w:val="right"/>
              <w:cnfStyle w:val="000000000000" w:firstRow="0" w:lastRow="0" w:firstColumn="0" w:lastColumn="0" w:oddVBand="0" w:evenVBand="0" w:oddHBand="0" w:evenHBand="0" w:firstRowFirstColumn="0" w:firstRowLastColumn="0" w:lastRowFirstColumn="0" w:lastRowLastColumn="0"/>
              <w:rPr>
                <w:b/>
                <w:bCs/>
              </w:rPr>
            </w:pPr>
          </w:p>
        </w:tc>
        <w:tc>
          <w:tcPr>
            <w:tcW w:w="1700" w:type="dxa"/>
          </w:tcPr>
          <w:p w14:paraId="0D610DC8" w14:textId="0C0E2903" w:rsidR="002A10FF" w:rsidRPr="002A10FF" w:rsidRDefault="002A10FF" w:rsidP="002A10FF">
            <w:pPr>
              <w:pStyle w:val="TableText"/>
              <w:jc w:val="right"/>
              <w:cnfStyle w:val="000000000000" w:firstRow="0" w:lastRow="0" w:firstColumn="0" w:lastColumn="0" w:oddVBand="0" w:evenVBand="0" w:oddHBand="0" w:evenHBand="0" w:firstRowFirstColumn="0" w:firstRowLastColumn="0" w:lastRowFirstColumn="0" w:lastRowLastColumn="0"/>
              <w:rPr>
                <w:b/>
                <w:bCs/>
              </w:rPr>
            </w:pPr>
            <w:r w:rsidRPr="002A10FF">
              <w:rPr>
                <w:b/>
                <w:bCs/>
              </w:rPr>
              <w:t>1,200.00</w:t>
            </w:r>
          </w:p>
        </w:tc>
      </w:tr>
    </w:tbl>
    <w:p w14:paraId="20AE7A70" w14:textId="603BA099" w:rsidR="002A10FF" w:rsidRDefault="002A10FF" w:rsidP="002A10FF">
      <w:pPr>
        <w:pStyle w:val="TableLabel"/>
        <w:spacing w:before="240"/>
        <w:ind w:left="0" w:firstLine="0"/>
      </w:pPr>
      <w:r>
        <w:t xml:space="preserve">Table 4: </w:t>
      </w:r>
      <w:r w:rsidR="00034A7E">
        <w:t>Individual</w:t>
      </w:r>
      <w:r>
        <w:t xml:space="preserve"> signage pool monitoring</w:t>
      </w:r>
    </w:p>
    <w:p w14:paraId="6F3319A0" w14:textId="0730DAD5" w:rsidR="002A10FF" w:rsidRDefault="002A10FF" w:rsidP="0081733D">
      <w:pPr>
        <w:rPr>
          <w:lang w:val="en-AU"/>
        </w:rPr>
      </w:pPr>
      <w:r>
        <w:rPr>
          <w:lang w:val="en-AU"/>
        </w:rPr>
        <w:t xml:space="preserve">Suggested table to track any linked jackpot signage </w:t>
      </w:r>
      <w:r w:rsidR="00034A7E">
        <w:rPr>
          <w:lang w:val="en-AU"/>
        </w:rPr>
        <w:t>contribution</w:t>
      </w:r>
      <w:r>
        <w:rPr>
          <w:lang w:val="en-AU"/>
        </w:rPr>
        <w:t xml:space="preserve"> that has not been transferred to another suitable jackpot.</w:t>
      </w:r>
    </w:p>
    <w:tbl>
      <w:tblPr>
        <w:tblStyle w:val="TableGrid"/>
        <w:tblW w:w="0" w:type="auto"/>
        <w:tblLook w:val="04A0" w:firstRow="1" w:lastRow="0" w:firstColumn="1" w:lastColumn="0" w:noHBand="0" w:noVBand="1"/>
      </w:tblPr>
      <w:tblGrid>
        <w:gridCol w:w="1699"/>
        <w:gridCol w:w="1699"/>
        <w:gridCol w:w="1700"/>
        <w:gridCol w:w="1700"/>
        <w:gridCol w:w="1700"/>
        <w:gridCol w:w="1700"/>
      </w:tblGrid>
      <w:tr w:rsidR="002A10FF" w14:paraId="57090A9E" w14:textId="77777777" w:rsidTr="002A10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9" w:type="dxa"/>
          </w:tcPr>
          <w:p w14:paraId="04E4AC7C" w14:textId="28CA7F91" w:rsidR="002A10FF" w:rsidRDefault="002A10FF" w:rsidP="002A10FF">
            <w:pPr>
              <w:pStyle w:val="TableHeader"/>
            </w:pPr>
            <w:r>
              <w:t>Jackpot name</w:t>
            </w:r>
          </w:p>
        </w:tc>
        <w:tc>
          <w:tcPr>
            <w:tcW w:w="1699" w:type="dxa"/>
          </w:tcPr>
          <w:p w14:paraId="53B9B742" w14:textId="5ED42B6B" w:rsidR="002A10FF" w:rsidRDefault="002A10FF" w:rsidP="002A10FF">
            <w:pPr>
              <w:pStyle w:val="TableHeader"/>
              <w:cnfStyle w:val="100000000000" w:firstRow="1" w:lastRow="0" w:firstColumn="0" w:lastColumn="0" w:oddVBand="0" w:evenVBand="0" w:oddHBand="0" w:evenHBand="0" w:firstRowFirstColumn="0" w:firstRowLastColumn="0" w:lastRowFirstColumn="0" w:lastRowLastColumn="0"/>
            </w:pPr>
            <w:r>
              <w:t>Retirement date</w:t>
            </w:r>
          </w:p>
        </w:tc>
        <w:tc>
          <w:tcPr>
            <w:tcW w:w="1700" w:type="dxa"/>
          </w:tcPr>
          <w:p w14:paraId="6D09FF8E" w14:textId="77777777" w:rsidR="002A10FF" w:rsidRDefault="002A10FF" w:rsidP="002A10FF">
            <w:pPr>
              <w:pStyle w:val="TableHeader"/>
              <w:cnfStyle w:val="100000000000" w:firstRow="1" w:lastRow="0" w:firstColumn="0" w:lastColumn="0" w:oddVBand="0" w:evenVBand="0" w:oddHBand="0" w:evenHBand="0" w:firstRowFirstColumn="0" w:firstRowLastColumn="0" w:lastRowFirstColumn="0" w:lastRowLastColumn="0"/>
            </w:pPr>
            <w:r>
              <w:t>Signage pool</w:t>
            </w:r>
          </w:p>
          <w:p w14:paraId="16B8513F" w14:textId="6CA61BCA" w:rsidR="002A10FF" w:rsidRDefault="002A10FF" w:rsidP="002A10FF">
            <w:pPr>
              <w:pStyle w:val="TableHeader"/>
              <w:cnfStyle w:val="100000000000" w:firstRow="1" w:lastRow="0" w:firstColumn="0" w:lastColumn="0" w:oddVBand="0" w:evenVBand="0" w:oddHBand="0" w:evenHBand="0" w:firstRowFirstColumn="0" w:firstRowLastColumn="0" w:lastRowFirstColumn="0" w:lastRowLastColumn="0"/>
            </w:pPr>
            <w:r>
              <w:t>(a)</w:t>
            </w:r>
          </w:p>
        </w:tc>
        <w:tc>
          <w:tcPr>
            <w:tcW w:w="1700" w:type="dxa"/>
          </w:tcPr>
          <w:p w14:paraId="09A2F157" w14:textId="77777777" w:rsidR="002A10FF" w:rsidRDefault="002A10FF" w:rsidP="002A10FF">
            <w:pPr>
              <w:pStyle w:val="TableHeader"/>
              <w:cnfStyle w:val="100000000000" w:firstRow="1" w:lastRow="0" w:firstColumn="0" w:lastColumn="0" w:oddVBand="0" w:evenVBand="0" w:oddHBand="0" w:evenHBand="0" w:firstRowFirstColumn="0" w:firstRowLastColumn="0" w:lastRowFirstColumn="0" w:lastRowLastColumn="0"/>
            </w:pPr>
            <w:r>
              <w:t xml:space="preserve">Jackpot start out </w:t>
            </w:r>
          </w:p>
          <w:p w14:paraId="38119170" w14:textId="52B4F043" w:rsidR="002A10FF" w:rsidRDefault="002A10FF" w:rsidP="002A10FF">
            <w:pPr>
              <w:pStyle w:val="TableHeader"/>
              <w:cnfStyle w:val="100000000000" w:firstRow="1" w:lastRow="0" w:firstColumn="0" w:lastColumn="0" w:oddVBand="0" w:evenVBand="0" w:oddHBand="0" w:evenHBand="0" w:firstRowFirstColumn="0" w:firstRowLastColumn="0" w:lastRowFirstColumn="0" w:lastRowLastColumn="0"/>
            </w:pPr>
            <w:r>
              <w:t>(b)</w:t>
            </w:r>
          </w:p>
        </w:tc>
        <w:tc>
          <w:tcPr>
            <w:tcW w:w="1700" w:type="dxa"/>
          </w:tcPr>
          <w:p w14:paraId="3464D0C6" w14:textId="77777777" w:rsidR="002A10FF" w:rsidRDefault="002A10FF" w:rsidP="002A10FF">
            <w:pPr>
              <w:pStyle w:val="TableHeader"/>
              <w:cnfStyle w:val="100000000000" w:firstRow="1" w:lastRow="0" w:firstColumn="0" w:lastColumn="0" w:oddVBand="0" w:evenVBand="0" w:oddHBand="0" w:evenHBand="0" w:firstRowFirstColumn="0" w:firstRowLastColumn="0" w:lastRowFirstColumn="0" w:lastRowLastColumn="0"/>
            </w:pPr>
            <w:r>
              <w:t xml:space="preserve">Balance </w:t>
            </w:r>
          </w:p>
          <w:p w14:paraId="15054E55" w14:textId="0028BA53" w:rsidR="002A10FF" w:rsidRDefault="002A10FF" w:rsidP="002A10FF">
            <w:pPr>
              <w:pStyle w:val="TableHeader"/>
              <w:cnfStyle w:val="100000000000" w:firstRow="1" w:lastRow="0" w:firstColumn="0" w:lastColumn="0" w:oddVBand="0" w:evenVBand="0" w:oddHBand="0" w:evenHBand="0" w:firstRowFirstColumn="0" w:firstRowLastColumn="0" w:lastRowFirstColumn="0" w:lastRowLastColumn="0"/>
            </w:pPr>
            <w:r>
              <w:t>(a)-(b)</w:t>
            </w:r>
          </w:p>
        </w:tc>
        <w:tc>
          <w:tcPr>
            <w:tcW w:w="1700" w:type="dxa"/>
          </w:tcPr>
          <w:p w14:paraId="5E5F447F" w14:textId="77777777" w:rsidR="002A10FF" w:rsidRDefault="002A10FF" w:rsidP="002A10FF">
            <w:pPr>
              <w:pStyle w:val="TableHeader"/>
              <w:cnfStyle w:val="100000000000" w:firstRow="1" w:lastRow="0" w:firstColumn="0" w:lastColumn="0" w:oddVBand="0" w:evenVBand="0" w:oddHBand="0" w:evenHBand="0" w:firstRowFirstColumn="0" w:firstRowLastColumn="0" w:lastRowFirstColumn="0" w:lastRowLastColumn="0"/>
            </w:pPr>
            <w:r>
              <w:t>Transferred</w:t>
            </w:r>
          </w:p>
          <w:p w14:paraId="079AC1CA" w14:textId="213D9B78" w:rsidR="002A10FF" w:rsidRDefault="002A10FF" w:rsidP="002A10FF">
            <w:pPr>
              <w:pStyle w:val="TableHeader"/>
              <w:cnfStyle w:val="100000000000" w:firstRow="1" w:lastRow="0" w:firstColumn="0" w:lastColumn="0" w:oddVBand="0" w:evenVBand="0" w:oddHBand="0" w:evenHBand="0" w:firstRowFirstColumn="0" w:firstRowLastColumn="0" w:lastRowFirstColumn="0" w:lastRowLastColumn="0"/>
            </w:pPr>
            <w:r>
              <w:t>y/n</w:t>
            </w:r>
          </w:p>
        </w:tc>
      </w:tr>
      <w:tr w:rsidR="002A10FF" w14:paraId="7A3E89FC" w14:textId="77777777" w:rsidTr="002A10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9" w:type="dxa"/>
          </w:tcPr>
          <w:p w14:paraId="10E93DFF" w14:textId="79C1B504" w:rsidR="002A10FF" w:rsidRDefault="002A10FF" w:rsidP="002A10FF">
            <w:pPr>
              <w:pStyle w:val="TableText"/>
            </w:pPr>
            <w:r>
              <w:t>Cash Express</w:t>
            </w:r>
          </w:p>
        </w:tc>
        <w:tc>
          <w:tcPr>
            <w:tcW w:w="1699" w:type="dxa"/>
          </w:tcPr>
          <w:p w14:paraId="5EFC1702" w14:textId="081F7436" w:rsidR="002A10FF" w:rsidRDefault="002A10FF" w:rsidP="002A10FF">
            <w:pPr>
              <w:pStyle w:val="TableText"/>
              <w:cnfStyle w:val="000000100000" w:firstRow="0" w:lastRow="0" w:firstColumn="0" w:lastColumn="0" w:oddVBand="0" w:evenVBand="0" w:oddHBand="1" w:evenHBand="0" w:firstRowFirstColumn="0" w:firstRowLastColumn="0" w:lastRowFirstColumn="0" w:lastRowLastColumn="0"/>
            </w:pPr>
            <w:r>
              <w:t xml:space="preserve">1 Mar </w:t>
            </w:r>
            <w:r w:rsidR="00363078">
              <w:t>22</w:t>
            </w:r>
          </w:p>
        </w:tc>
        <w:tc>
          <w:tcPr>
            <w:tcW w:w="1700" w:type="dxa"/>
          </w:tcPr>
          <w:p w14:paraId="080B8A7C" w14:textId="4B853F78" w:rsidR="002A10FF" w:rsidRDefault="002A10FF" w:rsidP="002A10FF">
            <w:pPr>
              <w:pStyle w:val="TableText"/>
              <w:jc w:val="right"/>
              <w:cnfStyle w:val="000000100000" w:firstRow="0" w:lastRow="0" w:firstColumn="0" w:lastColumn="0" w:oddVBand="0" w:evenVBand="0" w:oddHBand="1" w:evenHBand="0" w:firstRowFirstColumn="0" w:firstRowLastColumn="0" w:lastRowFirstColumn="0" w:lastRowLastColumn="0"/>
            </w:pPr>
            <w:r>
              <w:t>1,500.00</w:t>
            </w:r>
          </w:p>
        </w:tc>
        <w:tc>
          <w:tcPr>
            <w:tcW w:w="1700" w:type="dxa"/>
          </w:tcPr>
          <w:p w14:paraId="3DCC79F5" w14:textId="12AB8796" w:rsidR="002A10FF" w:rsidRDefault="002A10FF" w:rsidP="002A10FF">
            <w:pPr>
              <w:pStyle w:val="TableText"/>
              <w:jc w:val="right"/>
              <w:cnfStyle w:val="000000100000" w:firstRow="0" w:lastRow="0" w:firstColumn="0" w:lastColumn="0" w:oddVBand="0" w:evenVBand="0" w:oddHBand="1" w:evenHBand="0" w:firstRowFirstColumn="0" w:firstRowLastColumn="0" w:lastRowFirstColumn="0" w:lastRowLastColumn="0"/>
            </w:pPr>
            <w:r>
              <w:t>500.00</w:t>
            </w:r>
          </w:p>
        </w:tc>
        <w:tc>
          <w:tcPr>
            <w:tcW w:w="1700" w:type="dxa"/>
          </w:tcPr>
          <w:p w14:paraId="686F8DB5" w14:textId="6696BF2D" w:rsidR="002A10FF" w:rsidRDefault="002A10FF" w:rsidP="002A10FF">
            <w:pPr>
              <w:pStyle w:val="TableText"/>
              <w:jc w:val="right"/>
              <w:cnfStyle w:val="000000100000" w:firstRow="0" w:lastRow="0" w:firstColumn="0" w:lastColumn="0" w:oddVBand="0" w:evenVBand="0" w:oddHBand="1" w:evenHBand="0" w:firstRowFirstColumn="0" w:firstRowLastColumn="0" w:lastRowFirstColumn="0" w:lastRowLastColumn="0"/>
            </w:pPr>
            <w:r>
              <w:t>1,000.00</w:t>
            </w:r>
          </w:p>
        </w:tc>
        <w:tc>
          <w:tcPr>
            <w:tcW w:w="1700" w:type="dxa"/>
          </w:tcPr>
          <w:p w14:paraId="1A9C5390" w14:textId="2EA95593" w:rsidR="002A10FF" w:rsidRDefault="002A10FF" w:rsidP="002A10FF">
            <w:pPr>
              <w:pStyle w:val="TableText"/>
              <w:cnfStyle w:val="000000100000" w:firstRow="0" w:lastRow="0" w:firstColumn="0" w:lastColumn="0" w:oddVBand="0" w:evenVBand="0" w:oddHBand="1" w:evenHBand="0" w:firstRowFirstColumn="0" w:firstRowLastColumn="0" w:lastRowFirstColumn="0" w:lastRowLastColumn="0"/>
            </w:pPr>
            <w:r>
              <w:t>Y</w:t>
            </w:r>
          </w:p>
        </w:tc>
      </w:tr>
      <w:tr w:rsidR="002A10FF" w14:paraId="0A2679DD" w14:textId="77777777" w:rsidTr="002A10FF">
        <w:tc>
          <w:tcPr>
            <w:cnfStyle w:val="001000000000" w:firstRow="0" w:lastRow="0" w:firstColumn="1" w:lastColumn="0" w:oddVBand="0" w:evenVBand="0" w:oddHBand="0" w:evenHBand="0" w:firstRowFirstColumn="0" w:firstRowLastColumn="0" w:lastRowFirstColumn="0" w:lastRowLastColumn="0"/>
            <w:tcW w:w="1699" w:type="dxa"/>
          </w:tcPr>
          <w:p w14:paraId="4C407E1C" w14:textId="174A5DF5" w:rsidR="002A10FF" w:rsidRDefault="002A10FF" w:rsidP="002A10FF">
            <w:pPr>
              <w:pStyle w:val="TableText"/>
            </w:pPr>
            <w:r>
              <w:t>Showcase Jackpots</w:t>
            </w:r>
          </w:p>
        </w:tc>
        <w:tc>
          <w:tcPr>
            <w:tcW w:w="1699" w:type="dxa"/>
          </w:tcPr>
          <w:p w14:paraId="6132D1DC" w14:textId="006ACAEC" w:rsidR="002A10FF" w:rsidRDefault="002A10FF" w:rsidP="002A10FF">
            <w:pPr>
              <w:pStyle w:val="TableText"/>
              <w:cnfStyle w:val="000000000000" w:firstRow="0" w:lastRow="0" w:firstColumn="0" w:lastColumn="0" w:oddVBand="0" w:evenVBand="0" w:oddHBand="0" w:evenHBand="0" w:firstRowFirstColumn="0" w:firstRowLastColumn="0" w:lastRowFirstColumn="0" w:lastRowLastColumn="0"/>
            </w:pPr>
            <w:r>
              <w:t xml:space="preserve">15 Mar </w:t>
            </w:r>
            <w:r w:rsidR="00363078">
              <w:t>22</w:t>
            </w:r>
          </w:p>
        </w:tc>
        <w:tc>
          <w:tcPr>
            <w:tcW w:w="1700" w:type="dxa"/>
          </w:tcPr>
          <w:p w14:paraId="75A9CF04" w14:textId="7480F7AA" w:rsidR="002A10FF" w:rsidRDefault="002A10FF" w:rsidP="002A10FF">
            <w:pPr>
              <w:pStyle w:val="TableText"/>
              <w:jc w:val="right"/>
              <w:cnfStyle w:val="000000000000" w:firstRow="0" w:lastRow="0" w:firstColumn="0" w:lastColumn="0" w:oddVBand="0" w:evenVBand="0" w:oddHBand="0" w:evenHBand="0" w:firstRowFirstColumn="0" w:firstRowLastColumn="0" w:lastRowFirstColumn="0" w:lastRowLastColumn="0"/>
            </w:pPr>
            <w:r>
              <w:t>2,000.00</w:t>
            </w:r>
          </w:p>
        </w:tc>
        <w:tc>
          <w:tcPr>
            <w:tcW w:w="1700" w:type="dxa"/>
          </w:tcPr>
          <w:p w14:paraId="0E77D474" w14:textId="2159AF06" w:rsidR="002A10FF" w:rsidRDefault="002A10FF" w:rsidP="002A10FF">
            <w:pPr>
              <w:pStyle w:val="TableText"/>
              <w:jc w:val="right"/>
              <w:cnfStyle w:val="000000000000" w:firstRow="0" w:lastRow="0" w:firstColumn="0" w:lastColumn="0" w:oddVBand="0" w:evenVBand="0" w:oddHBand="0" w:evenHBand="0" w:firstRowFirstColumn="0" w:firstRowLastColumn="0" w:lastRowFirstColumn="0" w:lastRowLastColumn="0"/>
            </w:pPr>
            <w:r>
              <w:t>500.00</w:t>
            </w:r>
          </w:p>
        </w:tc>
        <w:tc>
          <w:tcPr>
            <w:tcW w:w="1700" w:type="dxa"/>
          </w:tcPr>
          <w:p w14:paraId="261E0D54" w14:textId="71259E09" w:rsidR="002A10FF" w:rsidRDefault="002A10FF" w:rsidP="002A10FF">
            <w:pPr>
              <w:pStyle w:val="TableText"/>
              <w:jc w:val="right"/>
              <w:cnfStyle w:val="000000000000" w:firstRow="0" w:lastRow="0" w:firstColumn="0" w:lastColumn="0" w:oddVBand="0" w:evenVBand="0" w:oddHBand="0" w:evenHBand="0" w:firstRowFirstColumn="0" w:firstRowLastColumn="0" w:lastRowFirstColumn="0" w:lastRowLastColumn="0"/>
            </w:pPr>
            <w:r>
              <w:t>1,500.00</w:t>
            </w:r>
          </w:p>
        </w:tc>
        <w:tc>
          <w:tcPr>
            <w:tcW w:w="1700" w:type="dxa"/>
          </w:tcPr>
          <w:p w14:paraId="69F22947" w14:textId="5E744C8B" w:rsidR="002A10FF" w:rsidRDefault="002A10FF" w:rsidP="002A10FF">
            <w:pPr>
              <w:pStyle w:val="TableText"/>
              <w:cnfStyle w:val="000000000000" w:firstRow="0" w:lastRow="0" w:firstColumn="0" w:lastColumn="0" w:oddVBand="0" w:evenVBand="0" w:oddHBand="0" w:evenHBand="0" w:firstRowFirstColumn="0" w:firstRowLastColumn="0" w:lastRowFirstColumn="0" w:lastRowLastColumn="0"/>
            </w:pPr>
            <w:r>
              <w:t>N</w:t>
            </w:r>
          </w:p>
        </w:tc>
      </w:tr>
      <w:tr w:rsidR="002A10FF" w14:paraId="2B69E816" w14:textId="77777777" w:rsidTr="002A10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9" w:type="dxa"/>
          </w:tcPr>
          <w:p w14:paraId="011DCA70" w14:textId="1B032B17" w:rsidR="002A10FF" w:rsidRDefault="002A10FF" w:rsidP="002A10FF">
            <w:pPr>
              <w:pStyle w:val="TableText"/>
            </w:pPr>
            <w:r>
              <w:t>Player’s Paradise</w:t>
            </w:r>
          </w:p>
        </w:tc>
        <w:tc>
          <w:tcPr>
            <w:tcW w:w="1699" w:type="dxa"/>
          </w:tcPr>
          <w:p w14:paraId="6EEBD22C" w14:textId="77777777" w:rsidR="002A10FF" w:rsidRDefault="002A10FF" w:rsidP="002A10FF">
            <w:pPr>
              <w:pStyle w:val="TableText"/>
              <w:cnfStyle w:val="000000100000" w:firstRow="0" w:lastRow="0" w:firstColumn="0" w:lastColumn="0" w:oddVBand="0" w:evenVBand="0" w:oddHBand="1" w:evenHBand="0" w:firstRowFirstColumn="0" w:firstRowLastColumn="0" w:lastRowFirstColumn="0" w:lastRowLastColumn="0"/>
            </w:pPr>
          </w:p>
        </w:tc>
        <w:tc>
          <w:tcPr>
            <w:tcW w:w="1700" w:type="dxa"/>
          </w:tcPr>
          <w:p w14:paraId="67EAD79F" w14:textId="77777777" w:rsidR="002A10FF" w:rsidRDefault="002A10FF" w:rsidP="002A10FF">
            <w:pPr>
              <w:pStyle w:val="TableText"/>
              <w:cnfStyle w:val="000000100000" w:firstRow="0" w:lastRow="0" w:firstColumn="0" w:lastColumn="0" w:oddVBand="0" w:evenVBand="0" w:oddHBand="1" w:evenHBand="0" w:firstRowFirstColumn="0" w:firstRowLastColumn="0" w:lastRowFirstColumn="0" w:lastRowLastColumn="0"/>
            </w:pPr>
          </w:p>
        </w:tc>
        <w:tc>
          <w:tcPr>
            <w:tcW w:w="1700" w:type="dxa"/>
          </w:tcPr>
          <w:p w14:paraId="375EDAE2" w14:textId="77777777" w:rsidR="002A10FF" w:rsidRDefault="002A10FF" w:rsidP="002A10FF">
            <w:pPr>
              <w:pStyle w:val="TableText"/>
              <w:cnfStyle w:val="000000100000" w:firstRow="0" w:lastRow="0" w:firstColumn="0" w:lastColumn="0" w:oddVBand="0" w:evenVBand="0" w:oddHBand="1" w:evenHBand="0" w:firstRowFirstColumn="0" w:firstRowLastColumn="0" w:lastRowFirstColumn="0" w:lastRowLastColumn="0"/>
            </w:pPr>
          </w:p>
        </w:tc>
        <w:tc>
          <w:tcPr>
            <w:tcW w:w="1700" w:type="dxa"/>
          </w:tcPr>
          <w:p w14:paraId="4CFFEE10" w14:textId="77777777" w:rsidR="002A10FF" w:rsidRDefault="002A10FF" w:rsidP="002A10FF">
            <w:pPr>
              <w:pStyle w:val="TableText"/>
              <w:cnfStyle w:val="000000100000" w:firstRow="0" w:lastRow="0" w:firstColumn="0" w:lastColumn="0" w:oddVBand="0" w:evenVBand="0" w:oddHBand="1" w:evenHBand="0" w:firstRowFirstColumn="0" w:firstRowLastColumn="0" w:lastRowFirstColumn="0" w:lastRowLastColumn="0"/>
            </w:pPr>
          </w:p>
        </w:tc>
        <w:tc>
          <w:tcPr>
            <w:tcW w:w="1700" w:type="dxa"/>
          </w:tcPr>
          <w:p w14:paraId="115CAD1D" w14:textId="77777777" w:rsidR="002A10FF" w:rsidRDefault="002A10FF" w:rsidP="002A10FF">
            <w:pPr>
              <w:pStyle w:val="TableText"/>
              <w:cnfStyle w:val="000000100000" w:firstRow="0" w:lastRow="0" w:firstColumn="0" w:lastColumn="0" w:oddVBand="0" w:evenVBand="0" w:oddHBand="1" w:evenHBand="0" w:firstRowFirstColumn="0" w:firstRowLastColumn="0" w:lastRowFirstColumn="0" w:lastRowLastColumn="0"/>
            </w:pPr>
          </w:p>
        </w:tc>
      </w:tr>
      <w:tr w:rsidR="002A10FF" w14:paraId="194E9580" w14:textId="77777777" w:rsidTr="002A10FF">
        <w:tc>
          <w:tcPr>
            <w:cnfStyle w:val="001000000000" w:firstRow="0" w:lastRow="0" w:firstColumn="1" w:lastColumn="0" w:oddVBand="0" w:evenVBand="0" w:oddHBand="0" w:evenHBand="0" w:firstRowFirstColumn="0" w:firstRowLastColumn="0" w:lastRowFirstColumn="0" w:lastRowLastColumn="0"/>
            <w:tcW w:w="1699" w:type="dxa"/>
          </w:tcPr>
          <w:p w14:paraId="18F95076" w14:textId="6398D5D7" w:rsidR="002A10FF" w:rsidRDefault="002A10FF" w:rsidP="002A10FF">
            <w:pPr>
              <w:pStyle w:val="TableText"/>
            </w:pPr>
            <w:r>
              <w:t>1c Jackpots</w:t>
            </w:r>
          </w:p>
        </w:tc>
        <w:tc>
          <w:tcPr>
            <w:tcW w:w="1699" w:type="dxa"/>
          </w:tcPr>
          <w:p w14:paraId="2F9088BF" w14:textId="77777777" w:rsidR="002A10FF" w:rsidRDefault="002A10FF" w:rsidP="002A10FF">
            <w:pPr>
              <w:pStyle w:val="TableText"/>
              <w:cnfStyle w:val="000000000000" w:firstRow="0" w:lastRow="0" w:firstColumn="0" w:lastColumn="0" w:oddVBand="0" w:evenVBand="0" w:oddHBand="0" w:evenHBand="0" w:firstRowFirstColumn="0" w:firstRowLastColumn="0" w:lastRowFirstColumn="0" w:lastRowLastColumn="0"/>
            </w:pPr>
          </w:p>
        </w:tc>
        <w:tc>
          <w:tcPr>
            <w:tcW w:w="1700" w:type="dxa"/>
          </w:tcPr>
          <w:p w14:paraId="56DAE4F9" w14:textId="77777777" w:rsidR="002A10FF" w:rsidRDefault="002A10FF" w:rsidP="002A10FF">
            <w:pPr>
              <w:pStyle w:val="TableText"/>
              <w:cnfStyle w:val="000000000000" w:firstRow="0" w:lastRow="0" w:firstColumn="0" w:lastColumn="0" w:oddVBand="0" w:evenVBand="0" w:oddHBand="0" w:evenHBand="0" w:firstRowFirstColumn="0" w:firstRowLastColumn="0" w:lastRowFirstColumn="0" w:lastRowLastColumn="0"/>
            </w:pPr>
          </w:p>
        </w:tc>
        <w:tc>
          <w:tcPr>
            <w:tcW w:w="1700" w:type="dxa"/>
          </w:tcPr>
          <w:p w14:paraId="268EF947" w14:textId="77777777" w:rsidR="002A10FF" w:rsidRDefault="002A10FF" w:rsidP="002A10FF">
            <w:pPr>
              <w:pStyle w:val="TableText"/>
              <w:cnfStyle w:val="000000000000" w:firstRow="0" w:lastRow="0" w:firstColumn="0" w:lastColumn="0" w:oddVBand="0" w:evenVBand="0" w:oddHBand="0" w:evenHBand="0" w:firstRowFirstColumn="0" w:firstRowLastColumn="0" w:lastRowFirstColumn="0" w:lastRowLastColumn="0"/>
            </w:pPr>
          </w:p>
        </w:tc>
        <w:tc>
          <w:tcPr>
            <w:tcW w:w="1700" w:type="dxa"/>
          </w:tcPr>
          <w:p w14:paraId="55FDE3F2" w14:textId="77777777" w:rsidR="002A10FF" w:rsidRDefault="002A10FF" w:rsidP="002A10FF">
            <w:pPr>
              <w:pStyle w:val="TableText"/>
              <w:cnfStyle w:val="000000000000" w:firstRow="0" w:lastRow="0" w:firstColumn="0" w:lastColumn="0" w:oddVBand="0" w:evenVBand="0" w:oddHBand="0" w:evenHBand="0" w:firstRowFirstColumn="0" w:firstRowLastColumn="0" w:lastRowFirstColumn="0" w:lastRowLastColumn="0"/>
            </w:pPr>
          </w:p>
        </w:tc>
        <w:tc>
          <w:tcPr>
            <w:tcW w:w="1700" w:type="dxa"/>
          </w:tcPr>
          <w:p w14:paraId="081E9BE0" w14:textId="77777777" w:rsidR="002A10FF" w:rsidRDefault="002A10FF" w:rsidP="002A10FF">
            <w:pPr>
              <w:pStyle w:val="TableText"/>
              <w:cnfStyle w:val="000000000000" w:firstRow="0" w:lastRow="0" w:firstColumn="0" w:lastColumn="0" w:oddVBand="0" w:evenVBand="0" w:oddHBand="0" w:evenHBand="0" w:firstRowFirstColumn="0" w:firstRowLastColumn="0" w:lastRowFirstColumn="0" w:lastRowLastColumn="0"/>
            </w:pPr>
          </w:p>
        </w:tc>
      </w:tr>
      <w:tr w:rsidR="002A10FF" w14:paraId="7DFC47F6" w14:textId="77777777" w:rsidTr="002A10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9" w:type="dxa"/>
          </w:tcPr>
          <w:p w14:paraId="76CA2105" w14:textId="795073B1" w:rsidR="002A10FF" w:rsidRDefault="002A10FF" w:rsidP="002A10FF">
            <w:pPr>
              <w:pStyle w:val="TableText"/>
            </w:pPr>
            <w:r>
              <w:t>Multi Cash Jackpots</w:t>
            </w:r>
          </w:p>
        </w:tc>
        <w:tc>
          <w:tcPr>
            <w:tcW w:w="1699" w:type="dxa"/>
          </w:tcPr>
          <w:p w14:paraId="4361AEA2" w14:textId="77777777" w:rsidR="002A10FF" w:rsidRDefault="002A10FF" w:rsidP="002A10FF">
            <w:pPr>
              <w:pStyle w:val="TableText"/>
              <w:cnfStyle w:val="000000100000" w:firstRow="0" w:lastRow="0" w:firstColumn="0" w:lastColumn="0" w:oddVBand="0" w:evenVBand="0" w:oddHBand="1" w:evenHBand="0" w:firstRowFirstColumn="0" w:firstRowLastColumn="0" w:lastRowFirstColumn="0" w:lastRowLastColumn="0"/>
            </w:pPr>
          </w:p>
        </w:tc>
        <w:tc>
          <w:tcPr>
            <w:tcW w:w="1700" w:type="dxa"/>
          </w:tcPr>
          <w:p w14:paraId="15755366" w14:textId="77777777" w:rsidR="002A10FF" w:rsidRDefault="002A10FF" w:rsidP="002A10FF">
            <w:pPr>
              <w:pStyle w:val="TableText"/>
              <w:cnfStyle w:val="000000100000" w:firstRow="0" w:lastRow="0" w:firstColumn="0" w:lastColumn="0" w:oddVBand="0" w:evenVBand="0" w:oddHBand="1" w:evenHBand="0" w:firstRowFirstColumn="0" w:firstRowLastColumn="0" w:lastRowFirstColumn="0" w:lastRowLastColumn="0"/>
            </w:pPr>
          </w:p>
        </w:tc>
        <w:tc>
          <w:tcPr>
            <w:tcW w:w="1700" w:type="dxa"/>
          </w:tcPr>
          <w:p w14:paraId="510D1BAA" w14:textId="77777777" w:rsidR="002A10FF" w:rsidRDefault="002A10FF" w:rsidP="002A10FF">
            <w:pPr>
              <w:pStyle w:val="TableText"/>
              <w:cnfStyle w:val="000000100000" w:firstRow="0" w:lastRow="0" w:firstColumn="0" w:lastColumn="0" w:oddVBand="0" w:evenVBand="0" w:oddHBand="1" w:evenHBand="0" w:firstRowFirstColumn="0" w:firstRowLastColumn="0" w:lastRowFirstColumn="0" w:lastRowLastColumn="0"/>
            </w:pPr>
          </w:p>
        </w:tc>
        <w:tc>
          <w:tcPr>
            <w:tcW w:w="1700" w:type="dxa"/>
          </w:tcPr>
          <w:p w14:paraId="7EEB17A7" w14:textId="77777777" w:rsidR="002A10FF" w:rsidRDefault="002A10FF" w:rsidP="002A10FF">
            <w:pPr>
              <w:pStyle w:val="TableText"/>
              <w:cnfStyle w:val="000000100000" w:firstRow="0" w:lastRow="0" w:firstColumn="0" w:lastColumn="0" w:oddVBand="0" w:evenVBand="0" w:oddHBand="1" w:evenHBand="0" w:firstRowFirstColumn="0" w:firstRowLastColumn="0" w:lastRowFirstColumn="0" w:lastRowLastColumn="0"/>
            </w:pPr>
          </w:p>
        </w:tc>
        <w:tc>
          <w:tcPr>
            <w:tcW w:w="1700" w:type="dxa"/>
          </w:tcPr>
          <w:p w14:paraId="1BF76C23" w14:textId="77777777" w:rsidR="002A10FF" w:rsidRDefault="002A10FF" w:rsidP="002A10FF">
            <w:pPr>
              <w:pStyle w:val="TableText"/>
              <w:cnfStyle w:val="000000100000" w:firstRow="0" w:lastRow="0" w:firstColumn="0" w:lastColumn="0" w:oddVBand="0" w:evenVBand="0" w:oddHBand="1" w:evenHBand="0" w:firstRowFirstColumn="0" w:firstRowLastColumn="0" w:lastRowFirstColumn="0" w:lastRowLastColumn="0"/>
            </w:pPr>
          </w:p>
        </w:tc>
      </w:tr>
    </w:tbl>
    <w:p w14:paraId="771EC661" w14:textId="01FC154C" w:rsidR="00596B01" w:rsidRDefault="00596B01" w:rsidP="0081733D">
      <w:pPr>
        <w:rPr>
          <w:lang w:val="en-AU"/>
        </w:rPr>
      </w:pPr>
    </w:p>
    <w:p w14:paraId="3EC9C1E7" w14:textId="77777777" w:rsidR="00596B01" w:rsidRDefault="00596B01">
      <w:pPr>
        <w:spacing w:after="0" w:line="240" w:lineRule="auto"/>
        <w:rPr>
          <w:lang w:val="en-AU"/>
        </w:rPr>
      </w:pPr>
      <w:r>
        <w:rPr>
          <w:lang w:val="en-AU"/>
        </w:rPr>
        <w:br w:type="page"/>
      </w:r>
    </w:p>
    <w:p w14:paraId="5D8CEA0E" w14:textId="3168306D" w:rsidR="00B72239" w:rsidRDefault="00596B01" w:rsidP="00596B01">
      <w:pPr>
        <w:pStyle w:val="Heading1"/>
        <w:numPr>
          <w:ilvl w:val="0"/>
          <w:numId w:val="0"/>
        </w:numPr>
        <w:ind w:left="720" w:hanging="720"/>
        <w:rPr>
          <w:lang w:val="en-AU"/>
        </w:rPr>
      </w:pPr>
      <w:bookmarkStart w:id="54" w:name="_Toc114465587"/>
      <w:r>
        <w:rPr>
          <w:lang w:val="en-AU"/>
        </w:rPr>
        <w:lastRenderedPageBreak/>
        <w:t>A</w:t>
      </w:r>
      <w:r w:rsidR="00363078">
        <w:rPr>
          <w:lang w:val="en-AU"/>
        </w:rPr>
        <w:t>ppendix</w:t>
      </w:r>
      <w:r>
        <w:rPr>
          <w:lang w:val="en-AU"/>
        </w:rPr>
        <w:t xml:space="preserve"> 5</w:t>
      </w:r>
      <w:bookmarkEnd w:id="54"/>
    </w:p>
    <w:p w14:paraId="1DDD64DC" w14:textId="5AB01A72" w:rsidR="00596B01" w:rsidRDefault="00596B01" w:rsidP="00596B01">
      <w:pPr>
        <w:pStyle w:val="Heading2"/>
        <w:numPr>
          <w:ilvl w:val="0"/>
          <w:numId w:val="0"/>
        </w:numPr>
        <w:ind w:left="576" w:hanging="576"/>
        <w:rPr>
          <w:lang w:val="en-AU"/>
        </w:rPr>
      </w:pPr>
      <w:bookmarkStart w:id="55" w:name="_Toc113880182"/>
      <w:bookmarkStart w:id="56" w:name="_Toc114465588"/>
      <w:r>
        <w:rPr>
          <w:lang w:val="en-AU"/>
        </w:rPr>
        <w:t>Minimum return to players</w:t>
      </w:r>
      <w:bookmarkEnd w:id="55"/>
      <w:bookmarkEnd w:id="56"/>
    </w:p>
    <w:p w14:paraId="30F379C2" w14:textId="0029CE65" w:rsidR="00596B01" w:rsidRDefault="00B133C9" w:rsidP="0081733D">
      <w:pPr>
        <w:rPr>
          <w:lang w:val="en-AU"/>
        </w:rPr>
      </w:pPr>
      <w:r>
        <w:rPr>
          <w:lang w:val="en-AU"/>
        </w:rPr>
        <w:t>Section 3.6.1 of the Act requires that:</w:t>
      </w:r>
    </w:p>
    <w:p w14:paraId="5EDFAA5E" w14:textId="65B8AB5E" w:rsidR="00B133C9" w:rsidRDefault="00B133C9" w:rsidP="00B133C9">
      <w:pPr>
        <w:pStyle w:val="Bullet1"/>
      </w:pPr>
      <w:r>
        <w:t>a gaming operator or a venue operator who holds a gaming machine entitle</w:t>
      </w:r>
      <w:r w:rsidR="00034A7E">
        <w:t>ment</w:t>
      </w:r>
      <w:r>
        <w:t xml:space="preserve"> must ensure that the payout table on gaming machines at each venue </w:t>
      </w:r>
      <w:r w:rsidR="00034A7E">
        <w:t>i</w:t>
      </w:r>
      <w:r>
        <w:t xml:space="preserve">s set </w:t>
      </w:r>
      <w:proofErr w:type="gramStart"/>
      <w:r>
        <w:t>so as to</w:t>
      </w:r>
      <w:proofErr w:type="gramEnd"/>
      <w:r>
        <w:t xml:space="preserve"> return to players the players’ proportion of the total amounts wagered each year at that venue, after </w:t>
      </w:r>
      <w:r w:rsidR="00034A7E">
        <w:t>deduction</w:t>
      </w:r>
      <w:r>
        <w:t xml:space="preserve"> of the sum of jackpot special prizes determined as prescribed and payable during that year</w:t>
      </w:r>
    </w:p>
    <w:p w14:paraId="31D0B5D8" w14:textId="162FCC16" w:rsidR="00B133C9" w:rsidRDefault="00B133C9" w:rsidP="00B133C9">
      <w:pPr>
        <w:pStyle w:val="Bullet1"/>
      </w:pPr>
      <w:r>
        <w:t>the players’ proportion is not less than 85%.</w:t>
      </w:r>
    </w:p>
    <w:p w14:paraId="3EC12F70" w14:textId="292031EC" w:rsidR="00B133C9" w:rsidRDefault="00B133C9" w:rsidP="0081733D">
      <w:pPr>
        <w:rPr>
          <w:lang w:val="en-AU"/>
        </w:rPr>
      </w:pPr>
      <w:r>
        <w:rPr>
          <w:lang w:val="en-AU"/>
        </w:rPr>
        <w:t xml:space="preserve">It is the responsibility of the venue operator to have </w:t>
      </w:r>
      <w:r w:rsidR="00034A7E">
        <w:rPr>
          <w:lang w:val="en-AU"/>
        </w:rPr>
        <w:t>adequate</w:t>
      </w:r>
      <w:r>
        <w:rPr>
          <w:lang w:val="en-AU"/>
        </w:rPr>
        <w:t xml:space="preserve"> procedures and periodic reconciliation in place to ensure that the above section of the Act is adhered to by the conclusion of the calendar year.</w:t>
      </w:r>
    </w:p>
    <w:p w14:paraId="4C93A46E" w14:textId="0A455C7F" w:rsidR="00596B01" w:rsidRDefault="00B133C9" w:rsidP="0081733D">
      <w:pPr>
        <w:rPr>
          <w:lang w:val="en-AU"/>
        </w:rPr>
      </w:pPr>
      <w:r>
        <w:rPr>
          <w:lang w:val="en-AU"/>
        </w:rPr>
        <w:t>Action must be taken by the venue, prior to the end of the year, to ensure that the total return from all attached gaming machines within the venue return the prescribed amounts to the players.</w:t>
      </w:r>
    </w:p>
    <w:tbl>
      <w:tblPr>
        <w:tblStyle w:val="TableGrid"/>
        <w:tblW w:w="10206" w:type="dxa"/>
        <w:tblLook w:val="04A0" w:firstRow="1" w:lastRow="0" w:firstColumn="1" w:lastColumn="0" w:noHBand="0" w:noVBand="1"/>
      </w:tblPr>
      <w:tblGrid>
        <w:gridCol w:w="1282"/>
        <w:gridCol w:w="1224"/>
        <w:gridCol w:w="1664"/>
        <w:gridCol w:w="1150"/>
        <w:gridCol w:w="1664"/>
        <w:gridCol w:w="873"/>
        <w:gridCol w:w="936"/>
        <w:gridCol w:w="1413"/>
      </w:tblGrid>
      <w:tr w:rsidR="001F6251" w14:paraId="1CD77EA2" w14:textId="77777777" w:rsidTr="00622FB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Pr>
          <w:p w14:paraId="39DD0888" w14:textId="49FCB03E" w:rsidR="00451683" w:rsidRDefault="00451683" w:rsidP="001F6251">
            <w:pPr>
              <w:pStyle w:val="TableHeader"/>
            </w:pPr>
            <w:r>
              <w:t>Month</w:t>
            </w:r>
          </w:p>
        </w:tc>
        <w:tc>
          <w:tcPr>
            <w:tcW w:w="984" w:type="dxa"/>
          </w:tcPr>
          <w:p w14:paraId="6F9D1485" w14:textId="00278A09" w:rsidR="00451683" w:rsidRDefault="00451683" w:rsidP="001F6251">
            <w:pPr>
              <w:pStyle w:val="TableHeader"/>
              <w:cnfStyle w:val="100000000000" w:firstRow="1" w:lastRow="0" w:firstColumn="0" w:lastColumn="0" w:oddVBand="0" w:evenVBand="0" w:oddHBand="0" w:evenHBand="0" w:firstRowFirstColumn="0" w:firstRowLastColumn="0" w:lastRowFirstColumn="0" w:lastRowLastColumn="0"/>
            </w:pPr>
            <w:r>
              <w:t>Turnover</w:t>
            </w:r>
          </w:p>
        </w:tc>
        <w:tc>
          <w:tcPr>
            <w:tcW w:w="0" w:type="dxa"/>
          </w:tcPr>
          <w:p w14:paraId="5F429594" w14:textId="77777777" w:rsidR="00451683" w:rsidRDefault="00451683" w:rsidP="001F6251">
            <w:pPr>
              <w:pStyle w:val="TableHeader"/>
              <w:cnfStyle w:val="100000000000" w:firstRow="1" w:lastRow="0" w:firstColumn="0" w:lastColumn="0" w:oddVBand="0" w:evenVBand="0" w:oddHBand="0" w:evenHBand="0" w:firstRowFirstColumn="0" w:firstRowLastColumn="0" w:lastRowFirstColumn="0" w:lastRowLastColumn="0"/>
            </w:pPr>
            <w:r>
              <w:t>Accumulated turnover</w:t>
            </w:r>
          </w:p>
          <w:p w14:paraId="78292301" w14:textId="2CDBDFDD" w:rsidR="00451683" w:rsidRDefault="00451683" w:rsidP="001F6251">
            <w:pPr>
              <w:pStyle w:val="TableHeader"/>
              <w:cnfStyle w:val="100000000000" w:firstRow="1" w:lastRow="0" w:firstColumn="0" w:lastColumn="0" w:oddVBand="0" w:evenVBand="0" w:oddHBand="0" w:evenHBand="0" w:firstRowFirstColumn="0" w:firstRowLastColumn="0" w:lastRowFirstColumn="0" w:lastRowLastColumn="0"/>
            </w:pPr>
            <w:r>
              <w:t>(a)</w:t>
            </w:r>
          </w:p>
        </w:tc>
        <w:tc>
          <w:tcPr>
            <w:tcW w:w="0" w:type="dxa"/>
          </w:tcPr>
          <w:p w14:paraId="5D30E4C2" w14:textId="008EE69E" w:rsidR="00451683" w:rsidRDefault="00451683" w:rsidP="001F6251">
            <w:pPr>
              <w:pStyle w:val="TableHeader"/>
              <w:cnfStyle w:val="100000000000" w:firstRow="1" w:lastRow="0" w:firstColumn="0" w:lastColumn="0" w:oddVBand="0" w:evenVBand="0" w:oddHBand="0" w:evenHBand="0" w:firstRowFirstColumn="0" w:firstRowLastColumn="0" w:lastRowFirstColumn="0" w:lastRowLastColumn="0"/>
            </w:pPr>
            <w:r>
              <w:t>Credit won</w:t>
            </w:r>
          </w:p>
        </w:tc>
        <w:tc>
          <w:tcPr>
            <w:tcW w:w="0" w:type="dxa"/>
          </w:tcPr>
          <w:p w14:paraId="4EA64AB1" w14:textId="77777777" w:rsidR="00451683" w:rsidRDefault="00451683" w:rsidP="001F6251">
            <w:pPr>
              <w:pStyle w:val="TableHeader"/>
              <w:cnfStyle w:val="100000000000" w:firstRow="1" w:lastRow="0" w:firstColumn="0" w:lastColumn="0" w:oddVBand="0" w:evenVBand="0" w:oddHBand="0" w:evenHBand="0" w:firstRowFirstColumn="0" w:firstRowLastColumn="0" w:lastRowFirstColumn="0" w:lastRowLastColumn="0"/>
            </w:pPr>
            <w:r>
              <w:t>Accumulated credit won</w:t>
            </w:r>
          </w:p>
          <w:p w14:paraId="37C4C902" w14:textId="7C24C953" w:rsidR="00451683" w:rsidRDefault="00451683" w:rsidP="001F6251">
            <w:pPr>
              <w:pStyle w:val="TableHeader"/>
              <w:cnfStyle w:val="100000000000" w:firstRow="1" w:lastRow="0" w:firstColumn="0" w:lastColumn="0" w:oddVBand="0" w:evenVBand="0" w:oddHBand="0" w:evenHBand="0" w:firstRowFirstColumn="0" w:firstRowLastColumn="0" w:lastRowFirstColumn="0" w:lastRowLastColumn="0"/>
            </w:pPr>
            <w:r>
              <w:t>(b)</w:t>
            </w:r>
          </w:p>
        </w:tc>
        <w:tc>
          <w:tcPr>
            <w:tcW w:w="0" w:type="dxa"/>
          </w:tcPr>
          <w:p w14:paraId="3D8670A3" w14:textId="77777777" w:rsidR="00451683" w:rsidRDefault="00451683" w:rsidP="001F6251">
            <w:pPr>
              <w:pStyle w:val="TableHeader"/>
              <w:cnfStyle w:val="100000000000" w:firstRow="1" w:lastRow="0" w:firstColumn="0" w:lastColumn="0" w:oddVBand="0" w:evenVBand="0" w:oddHBand="0" w:evenHBand="0" w:firstRowFirstColumn="0" w:firstRowLastColumn="0" w:lastRowFirstColumn="0" w:lastRowLastColumn="0"/>
            </w:pPr>
            <w:r>
              <w:t>RTP %</w:t>
            </w:r>
          </w:p>
          <w:p w14:paraId="13602619" w14:textId="7700E036" w:rsidR="00451683" w:rsidRDefault="00451683" w:rsidP="001F6251">
            <w:pPr>
              <w:pStyle w:val="TableHeader"/>
              <w:cnfStyle w:val="100000000000" w:firstRow="1" w:lastRow="0" w:firstColumn="0" w:lastColumn="0" w:oddVBand="0" w:evenVBand="0" w:oddHBand="0" w:evenHBand="0" w:firstRowFirstColumn="0" w:firstRowLastColumn="0" w:lastRowFirstColumn="0" w:lastRowLastColumn="0"/>
            </w:pPr>
            <w:r>
              <w:t>(b)/(a)</w:t>
            </w:r>
          </w:p>
        </w:tc>
        <w:tc>
          <w:tcPr>
            <w:tcW w:w="0" w:type="dxa"/>
          </w:tcPr>
          <w:p w14:paraId="6D7AE5A2" w14:textId="77777777" w:rsidR="00451683" w:rsidRDefault="00451683" w:rsidP="001F6251">
            <w:pPr>
              <w:pStyle w:val="TableHeader"/>
              <w:cnfStyle w:val="100000000000" w:firstRow="1" w:lastRow="0" w:firstColumn="0" w:lastColumn="0" w:oddVBand="0" w:evenVBand="0" w:oddHBand="0" w:evenHBand="0" w:firstRowFirstColumn="0" w:firstRowLastColumn="0" w:lastRowFirstColumn="0" w:lastRowLastColumn="0"/>
            </w:pPr>
            <w:r>
              <w:t>Above 87%?</w:t>
            </w:r>
          </w:p>
          <w:p w14:paraId="6AA254C9" w14:textId="1E8048B2" w:rsidR="00451683" w:rsidRDefault="001F6251" w:rsidP="001F6251">
            <w:pPr>
              <w:pStyle w:val="TableHeader"/>
              <w:cnfStyle w:val="100000000000" w:firstRow="1" w:lastRow="0" w:firstColumn="0" w:lastColumn="0" w:oddVBand="0" w:evenVBand="0" w:oddHBand="0" w:evenHBand="0" w:firstRowFirstColumn="0" w:firstRowLastColumn="0" w:lastRowFirstColumn="0" w:lastRowLastColumn="0"/>
            </w:pPr>
            <w:r>
              <w:t>Y</w:t>
            </w:r>
            <w:r w:rsidR="00451683">
              <w:t>/</w:t>
            </w:r>
            <w:r>
              <w:t>N</w:t>
            </w:r>
          </w:p>
        </w:tc>
        <w:tc>
          <w:tcPr>
            <w:tcW w:w="0" w:type="dxa"/>
          </w:tcPr>
          <w:p w14:paraId="709B9CB3" w14:textId="3CE78F23" w:rsidR="00451683" w:rsidRDefault="00451683" w:rsidP="001F6251">
            <w:pPr>
              <w:pStyle w:val="TableHeader"/>
              <w:cnfStyle w:val="100000000000" w:firstRow="1" w:lastRow="0" w:firstColumn="0" w:lastColumn="0" w:oddVBand="0" w:evenVBand="0" w:oddHBand="0" w:evenHBand="0" w:firstRowFirstColumn="0" w:firstRowLastColumn="0" w:lastRowFirstColumn="0" w:lastRowLastColumn="0"/>
            </w:pPr>
            <w:r>
              <w:t>Comments</w:t>
            </w:r>
          </w:p>
        </w:tc>
      </w:tr>
      <w:tr w:rsidR="001F6251" w14:paraId="3729FE7B" w14:textId="77777777" w:rsidTr="00622F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Pr>
          <w:p w14:paraId="1221CD38" w14:textId="35FB2D30" w:rsidR="00451683" w:rsidRDefault="001F6251" w:rsidP="001F6251">
            <w:pPr>
              <w:pStyle w:val="TableText"/>
            </w:pPr>
            <w:r>
              <w:t xml:space="preserve">Jan </w:t>
            </w:r>
            <w:r w:rsidR="00363078">
              <w:t>22</w:t>
            </w:r>
          </w:p>
        </w:tc>
        <w:tc>
          <w:tcPr>
            <w:tcW w:w="984" w:type="dxa"/>
          </w:tcPr>
          <w:p w14:paraId="35CA91F2" w14:textId="51AD9FD6" w:rsidR="00451683" w:rsidRDefault="001F6251" w:rsidP="001F6251">
            <w:pPr>
              <w:pStyle w:val="TableText"/>
              <w:jc w:val="right"/>
              <w:cnfStyle w:val="000000100000" w:firstRow="0" w:lastRow="0" w:firstColumn="0" w:lastColumn="0" w:oddVBand="0" w:evenVBand="0" w:oddHBand="1" w:evenHBand="0" w:firstRowFirstColumn="0" w:firstRowLastColumn="0" w:lastRowFirstColumn="0" w:lastRowLastColumn="0"/>
            </w:pPr>
            <w:r>
              <w:t>1,805,603</w:t>
            </w:r>
          </w:p>
        </w:tc>
        <w:tc>
          <w:tcPr>
            <w:tcW w:w="0" w:type="dxa"/>
          </w:tcPr>
          <w:p w14:paraId="374DB806" w14:textId="3B4E0FC7" w:rsidR="00451683" w:rsidRDefault="001F6251" w:rsidP="001F6251">
            <w:pPr>
              <w:pStyle w:val="TableText"/>
              <w:jc w:val="right"/>
              <w:cnfStyle w:val="000000100000" w:firstRow="0" w:lastRow="0" w:firstColumn="0" w:lastColumn="0" w:oddVBand="0" w:evenVBand="0" w:oddHBand="1" w:evenHBand="0" w:firstRowFirstColumn="0" w:firstRowLastColumn="0" w:lastRowFirstColumn="0" w:lastRowLastColumn="0"/>
            </w:pPr>
            <w:r>
              <w:t>1,805,603</w:t>
            </w:r>
          </w:p>
        </w:tc>
        <w:tc>
          <w:tcPr>
            <w:tcW w:w="0" w:type="dxa"/>
          </w:tcPr>
          <w:p w14:paraId="3B99801E" w14:textId="46BFFF9B" w:rsidR="00451683" w:rsidRDefault="001F6251" w:rsidP="001F6251">
            <w:pPr>
              <w:pStyle w:val="TableText"/>
              <w:jc w:val="right"/>
              <w:cnfStyle w:val="000000100000" w:firstRow="0" w:lastRow="0" w:firstColumn="0" w:lastColumn="0" w:oddVBand="0" w:evenVBand="0" w:oddHBand="1" w:evenHBand="0" w:firstRowFirstColumn="0" w:firstRowLastColumn="0" w:lastRowFirstColumn="0" w:lastRowLastColumn="0"/>
            </w:pPr>
            <w:r>
              <w:t>1,402,535</w:t>
            </w:r>
          </w:p>
        </w:tc>
        <w:tc>
          <w:tcPr>
            <w:tcW w:w="0" w:type="dxa"/>
          </w:tcPr>
          <w:p w14:paraId="0AD4D2BF" w14:textId="6AB3E448" w:rsidR="00451683" w:rsidRDefault="001F6251" w:rsidP="001F6251">
            <w:pPr>
              <w:pStyle w:val="TableText"/>
              <w:jc w:val="right"/>
              <w:cnfStyle w:val="000000100000" w:firstRow="0" w:lastRow="0" w:firstColumn="0" w:lastColumn="0" w:oddVBand="0" w:evenVBand="0" w:oddHBand="1" w:evenHBand="0" w:firstRowFirstColumn="0" w:firstRowLastColumn="0" w:lastRowFirstColumn="0" w:lastRowLastColumn="0"/>
            </w:pPr>
            <w:r>
              <w:t>1,402,535</w:t>
            </w:r>
          </w:p>
        </w:tc>
        <w:tc>
          <w:tcPr>
            <w:tcW w:w="0" w:type="dxa"/>
          </w:tcPr>
          <w:p w14:paraId="21A5A6AE" w14:textId="1FDC49FD" w:rsidR="00451683" w:rsidRDefault="001F6251" w:rsidP="001F6251">
            <w:pPr>
              <w:pStyle w:val="TableText"/>
              <w:jc w:val="right"/>
              <w:cnfStyle w:val="000000100000" w:firstRow="0" w:lastRow="0" w:firstColumn="0" w:lastColumn="0" w:oddVBand="0" w:evenVBand="0" w:oddHBand="1" w:evenHBand="0" w:firstRowFirstColumn="0" w:firstRowLastColumn="0" w:lastRowFirstColumn="0" w:lastRowLastColumn="0"/>
            </w:pPr>
            <w:r>
              <w:t>78</w:t>
            </w:r>
            <w:r w:rsidR="00481903">
              <w:t>%</w:t>
            </w:r>
          </w:p>
        </w:tc>
        <w:tc>
          <w:tcPr>
            <w:tcW w:w="0" w:type="dxa"/>
          </w:tcPr>
          <w:p w14:paraId="6AF82B03" w14:textId="02360CB2" w:rsidR="00451683" w:rsidRDefault="001F6251" w:rsidP="001F6251">
            <w:pPr>
              <w:pStyle w:val="TableText"/>
              <w:cnfStyle w:val="000000100000" w:firstRow="0" w:lastRow="0" w:firstColumn="0" w:lastColumn="0" w:oddVBand="0" w:evenVBand="0" w:oddHBand="1" w:evenHBand="0" w:firstRowFirstColumn="0" w:firstRowLastColumn="0" w:lastRowFirstColumn="0" w:lastRowLastColumn="0"/>
            </w:pPr>
            <w:r>
              <w:t>N</w:t>
            </w:r>
          </w:p>
        </w:tc>
        <w:tc>
          <w:tcPr>
            <w:tcW w:w="0" w:type="dxa"/>
          </w:tcPr>
          <w:p w14:paraId="4D970F12" w14:textId="37059473" w:rsidR="00451683" w:rsidRDefault="001F6251" w:rsidP="001F6251">
            <w:pPr>
              <w:pStyle w:val="TableText"/>
              <w:cnfStyle w:val="000000100000" w:firstRow="0" w:lastRow="0" w:firstColumn="0" w:lastColumn="0" w:oddVBand="0" w:evenVBand="0" w:oddHBand="1" w:evenHBand="0" w:firstRowFirstColumn="0" w:firstRowLastColumn="0" w:lastRowFirstColumn="0" w:lastRowLastColumn="0"/>
            </w:pPr>
            <w:r>
              <w:t>Beginning of the year, to monitor over the year.</w:t>
            </w:r>
          </w:p>
        </w:tc>
      </w:tr>
      <w:tr w:rsidR="001F6251" w14:paraId="7B084DD7" w14:textId="77777777" w:rsidTr="00622FB0">
        <w:tc>
          <w:tcPr>
            <w:cnfStyle w:val="001000000000" w:firstRow="0" w:lastRow="0" w:firstColumn="1" w:lastColumn="0" w:oddVBand="0" w:evenVBand="0" w:oddHBand="0" w:evenHBand="0" w:firstRowFirstColumn="0" w:firstRowLastColumn="0" w:lastRowFirstColumn="0" w:lastRowLastColumn="0"/>
            <w:tcW w:w="1134" w:type="dxa"/>
          </w:tcPr>
          <w:p w14:paraId="00C4BC50" w14:textId="6EC5839B" w:rsidR="001F6251" w:rsidRDefault="001F6251" w:rsidP="001F6251">
            <w:pPr>
              <w:pStyle w:val="TableText"/>
            </w:pPr>
            <w:r>
              <w:t xml:space="preserve">Feb </w:t>
            </w:r>
            <w:r w:rsidR="00363078">
              <w:t>22</w:t>
            </w:r>
          </w:p>
        </w:tc>
        <w:tc>
          <w:tcPr>
            <w:tcW w:w="984" w:type="dxa"/>
          </w:tcPr>
          <w:p w14:paraId="1679029C" w14:textId="1864E075" w:rsidR="001F6251" w:rsidRDefault="001F6251" w:rsidP="001F6251">
            <w:pPr>
              <w:pStyle w:val="TableText"/>
              <w:jc w:val="right"/>
              <w:cnfStyle w:val="000000000000" w:firstRow="0" w:lastRow="0" w:firstColumn="0" w:lastColumn="0" w:oddVBand="0" w:evenVBand="0" w:oddHBand="0" w:evenHBand="0" w:firstRowFirstColumn="0" w:firstRowLastColumn="0" w:lastRowFirstColumn="0" w:lastRowLastColumn="0"/>
            </w:pPr>
            <w:r>
              <w:t>1,901,560</w:t>
            </w:r>
          </w:p>
        </w:tc>
        <w:tc>
          <w:tcPr>
            <w:tcW w:w="0" w:type="dxa"/>
          </w:tcPr>
          <w:p w14:paraId="3B65E155" w14:textId="69A08FCC" w:rsidR="001F6251" w:rsidRDefault="001F6251" w:rsidP="001F6251">
            <w:pPr>
              <w:pStyle w:val="TableText"/>
              <w:jc w:val="right"/>
              <w:cnfStyle w:val="000000000000" w:firstRow="0" w:lastRow="0" w:firstColumn="0" w:lastColumn="0" w:oddVBand="0" w:evenVBand="0" w:oddHBand="0" w:evenHBand="0" w:firstRowFirstColumn="0" w:firstRowLastColumn="0" w:lastRowFirstColumn="0" w:lastRowLastColumn="0"/>
            </w:pPr>
            <w:r>
              <w:t>3,707,163</w:t>
            </w:r>
          </w:p>
        </w:tc>
        <w:tc>
          <w:tcPr>
            <w:tcW w:w="0" w:type="dxa"/>
          </w:tcPr>
          <w:p w14:paraId="4E8243DF" w14:textId="1F15B6C2" w:rsidR="001F6251" w:rsidRDefault="001F6251" w:rsidP="001F6251">
            <w:pPr>
              <w:pStyle w:val="TableText"/>
              <w:jc w:val="right"/>
              <w:cnfStyle w:val="000000000000" w:firstRow="0" w:lastRow="0" w:firstColumn="0" w:lastColumn="0" w:oddVBand="0" w:evenVBand="0" w:oddHBand="0" w:evenHBand="0" w:firstRowFirstColumn="0" w:firstRowLastColumn="0" w:lastRowFirstColumn="0" w:lastRowLastColumn="0"/>
            </w:pPr>
            <w:r>
              <w:t>1,854,268</w:t>
            </w:r>
          </w:p>
        </w:tc>
        <w:tc>
          <w:tcPr>
            <w:tcW w:w="0" w:type="dxa"/>
          </w:tcPr>
          <w:p w14:paraId="767296D4" w14:textId="2C6F51B2" w:rsidR="001F6251" w:rsidRDefault="001F6251" w:rsidP="001F6251">
            <w:pPr>
              <w:pStyle w:val="TableText"/>
              <w:jc w:val="right"/>
              <w:cnfStyle w:val="000000000000" w:firstRow="0" w:lastRow="0" w:firstColumn="0" w:lastColumn="0" w:oddVBand="0" w:evenVBand="0" w:oddHBand="0" w:evenHBand="0" w:firstRowFirstColumn="0" w:firstRowLastColumn="0" w:lastRowFirstColumn="0" w:lastRowLastColumn="0"/>
            </w:pPr>
            <w:r>
              <w:t>3,256,803</w:t>
            </w:r>
          </w:p>
        </w:tc>
        <w:tc>
          <w:tcPr>
            <w:tcW w:w="0" w:type="dxa"/>
          </w:tcPr>
          <w:p w14:paraId="25113489" w14:textId="1D39AE9A" w:rsidR="001F6251" w:rsidRDefault="001F6251" w:rsidP="001F6251">
            <w:pPr>
              <w:pStyle w:val="TableText"/>
              <w:jc w:val="right"/>
              <w:cnfStyle w:val="000000000000" w:firstRow="0" w:lastRow="0" w:firstColumn="0" w:lastColumn="0" w:oddVBand="0" w:evenVBand="0" w:oddHBand="0" w:evenHBand="0" w:firstRowFirstColumn="0" w:firstRowLastColumn="0" w:lastRowFirstColumn="0" w:lastRowLastColumn="0"/>
            </w:pPr>
            <w:r>
              <w:t>88%</w:t>
            </w:r>
          </w:p>
        </w:tc>
        <w:tc>
          <w:tcPr>
            <w:tcW w:w="0" w:type="dxa"/>
          </w:tcPr>
          <w:p w14:paraId="20192671" w14:textId="5B402F5C" w:rsidR="001F6251" w:rsidRDefault="001F6251" w:rsidP="001F6251">
            <w:pPr>
              <w:pStyle w:val="TableText"/>
              <w:cnfStyle w:val="000000000000" w:firstRow="0" w:lastRow="0" w:firstColumn="0" w:lastColumn="0" w:oddVBand="0" w:evenVBand="0" w:oddHBand="0" w:evenHBand="0" w:firstRowFirstColumn="0" w:firstRowLastColumn="0" w:lastRowFirstColumn="0" w:lastRowLastColumn="0"/>
            </w:pPr>
            <w:r>
              <w:t>Y</w:t>
            </w:r>
          </w:p>
        </w:tc>
        <w:tc>
          <w:tcPr>
            <w:tcW w:w="0" w:type="dxa"/>
          </w:tcPr>
          <w:p w14:paraId="7FE47924" w14:textId="77777777" w:rsidR="001F6251" w:rsidRDefault="001F6251" w:rsidP="001F6251">
            <w:pPr>
              <w:pStyle w:val="TableText"/>
              <w:cnfStyle w:val="000000000000" w:firstRow="0" w:lastRow="0" w:firstColumn="0" w:lastColumn="0" w:oddVBand="0" w:evenVBand="0" w:oddHBand="0" w:evenHBand="0" w:firstRowFirstColumn="0" w:firstRowLastColumn="0" w:lastRowFirstColumn="0" w:lastRowLastColumn="0"/>
            </w:pPr>
          </w:p>
        </w:tc>
      </w:tr>
      <w:tr w:rsidR="001F6251" w14:paraId="06C8F92F" w14:textId="77777777" w:rsidTr="00622F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Pr>
          <w:p w14:paraId="1C2CFE51" w14:textId="5F2FFE1B" w:rsidR="001F6251" w:rsidRDefault="001F6251" w:rsidP="001F6251">
            <w:pPr>
              <w:pStyle w:val="TableText"/>
            </w:pPr>
            <w:r>
              <w:t xml:space="preserve">Mar </w:t>
            </w:r>
            <w:r w:rsidR="00363078">
              <w:t>22</w:t>
            </w:r>
          </w:p>
        </w:tc>
        <w:tc>
          <w:tcPr>
            <w:tcW w:w="984" w:type="dxa"/>
          </w:tcPr>
          <w:p w14:paraId="05251C9B" w14:textId="5E11F252" w:rsidR="001F6251" w:rsidRDefault="001F6251" w:rsidP="001F6251">
            <w:pPr>
              <w:pStyle w:val="TableText"/>
              <w:jc w:val="right"/>
              <w:cnfStyle w:val="000000100000" w:firstRow="0" w:lastRow="0" w:firstColumn="0" w:lastColumn="0" w:oddVBand="0" w:evenVBand="0" w:oddHBand="1" w:evenHBand="0" w:firstRowFirstColumn="0" w:firstRowLastColumn="0" w:lastRowFirstColumn="0" w:lastRowLastColumn="0"/>
            </w:pPr>
            <w:r>
              <w:t>2,410,250</w:t>
            </w:r>
          </w:p>
        </w:tc>
        <w:tc>
          <w:tcPr>
            <w:tcW w:w="0" w:type="dxa"/>
          </w:tcPr>
          <w:p w14:paraId="7BC71C1B" w14:textId="57A15203" w:rsidR="001F6251" w:rsidRDefault="001F6251" w:rsidP="001F6251">
            <w:pPr>
              <w:pStyle w:val="TableText"/>
              <w:jc w:val="right"/>
              <w:cnfStyle w:val="000000100000" w:firstRow="0" w:lastRow="0" w:firstColumn="0" w:lastColumn="0" w:oddVBand="0" w:evenVBand="0" w:oddHBand="1" w:evenHBand="0" w:firstRowFirstColumn="0" w:firstRowLastColumn="0" w:lastRowFirstColumn="0" w:lastRowLastColumn="0"/>
            </w:pPr>
            <w:r>
              <w:t>6,117,413</w:t>
            </w:r>
          </w:p>
        </w:tc>
        <w:tc>
          <w:tcPr>
            <w:tcW w:w="0" w:type="dxa"/>
          </w:tcPr>
          <w:p w14:paraId="208E21AF" w14:textId="016E8CDF" w:rsidR="001F6251" w:rsidRDefault="001F6251" w:rsidP="001F6251">
            <w:pPr>
              <w:pStyle w:val="TableText"/>
              <w:jc w:val="right"/>
              <w:cnfStyle w:val="000000100000" w:firstRow="0" w:lastRow="0" w:firstColumn="0" w:lastColumn="0" w:oddVBand="0" w:evenVBand="0" w:oddHBand="1" w:evenHBand="0" w:firstRowFirstColumn="0" w:firstRowLastColumn="0" w:lastRowFirstColumn="0" w:lastRowLastColumn="0"/>
            </w:pPr>
            <w:r>
              <w:t>2,102,542</w:t>
            </w:r>
          </w:p>
        </w:tc>
        <w:tc>
          <w:tcPr>
            <w:tcW w:w="0" w:type="dxa"/>
          </w:tcPr>
          <w:p w14:paraId="07AF0361" w14:textId="06BB4539" w:rsidR="001F6251" w:rsidRDefault="001F6251" w:rsidP="001F6251">
            <w:pPr>
              <w:pStyle w:val="TableText"/>
              <w:jc w:val="right"/>
              <w:cnfStyle w:val="000000100000" w:firstRow="0" w:lastRow="0" w:firstColumn="0" w:lastColumn="0" w:oddVBand="0" w:evenVBand="0" w:oddHBand="1" w:evenHBand="0" w:firstRowFirstColumn="0" w:firstRowLastColumn="0" w:lastRowFirstColumn="0" w:lastRowLastColumn="0"/>
            </w:pPr>
            <w:r>
              <w:t>5,359,345</w:t>
            </w:r>
          </w:p>
        </w:tc>
        <w:tc>
          <w:tcPr>
            <w:tcW w:w="0" w:type="dxa"/>
          </w:tcPr>
          <w:p w14:paraId="60215AAE" w14:textId="595B47A7" w:rsidR="001F6251" w:rsidRDefault="001F6251" w:rsidP="001F6251">
            <w:pPr>
              <w:pStyle w:val="TableText"/>
              <w:jc w:val="right"/>
              <w:cnfStyle w:val="000000100000" w:firstRow="0" w:lastRow="0" w:firstColumn="0" w:lastColumn="0" w:oddVBand="0" w:evenVBand="0" w:oddHBand="1" w:evenHBand="0" w:firstRowFirstColumn="0" w:firstRowLastColumn="0" w:lastRowFirstColumn="0" w:lastRowLastColumn="0"/>
            </w:pPr>
            <w:r>
              <w:t>88%</w:t>
            </w:r>
          </w:p>
        </w:tc>
        <w:tc>
          <w:tcPr>
            <w:tcW w:w="0" w:type="dxa"/>
          </w:tcPr>
          <w:p w14:paraId="7AA0B91F" w14:textId="5A4B728A" w:rsidR="001F6251" w:rsidRDefault="001F6251" w:rsidP="001F6251">
            <w:pPr>
              <w:pStyle w:val="TableText"/>
              <w:cnfStyle w:val="000000100000" w:firstRow="0" w:lastRow="0" w:firstColumn="0" w:lastColumn="0" w:oddVBand="0" w:evenVBand="0" w:oddHBand="1" w:evenHBand="0" w:firstRowFirstColumn="0" w:firstRowLastColumn="0" w:lastRowFirstColumn="0" w:lastRowLastColumn="0"/>
            </w:pPr>
            <w:r>
              <w:t>Y</w:t>
            </w:r>
          </w:p>
        </w:tc>
        <w:tc>
          <w:tcPr>
            <w:tcW w:w="0" w:type="dxa"/>
          </w:tcPr>
          <w:p w14:paraId="02EADA65" w14:textId="77777777" w:rsidR="001F6251" w:rsidRDefault="001F6251" w:rsidP="001F6251">
            <w:pPr>
              <w:pStyle w:val="TableText"/>
              <w:cnfStyle w:val="000000100000" w:firstRow="0" w:lastRow="0" w:firstColumn="0" w:lastColumn="0" w:oddVBand="0" w:evenVBand="0" w:oddHBand="1" w:evenHBand="0" w:firstRowFirstColumn="0" w:firstRowLastColumn="0" w:lastRowFirstColumn="0" w:lastRowLastColumn="0"/>
            </w:pPr>
          </w:p>
        </w:tc>
      </w:tr>
      <w:tr w:rsidR="001F6251" w14:paraId="46CF243C" w14:textId="77777777" w:rsidTr="00622FB0">
        <w:tc>
          <w:tcPr>
            <w:cnfStyle w:val="001000000000" w:firstRow="0" w:lastRow="0" w:firstColumn="1" w:lastColumn="0" w:oddVBand="0" w:evenVBand="0" w:oddHBand="0" w:evenHBand="0" w:firstRowFirstColumn="0" w:firstRowLastColumn="0" w:lastRowFirstColumn="0" w:lastRowLastColumn="0"/>
            <w:tcW w:w="1134" w:type="dxa"/>
          </w:tcPr>
          <w:p w14:paraId="00DBF1BB" w14:textId="63B4028B" w:rsidR="001F6251" w:rsidRDefault="001F6251" w:rsidP="001F6251">
            <w:pPr>
              <w:pStyle w:val="TableText"/>
            </w:pPr>
            <w:r>
              <w:t xml:space="preserve">Apr </w:t>
            </w:r>
            <w:r w:rsidR="00363078">
              <w:t>22</w:t>
            </w:r>
          </w:p>
        </w:tc>
        <w:tc>
          <w:tcPr>
            <w:tcW w:w="984" w:type="dxa"/>
          </w:tcPr>
          <w:p w14:paraId="10D5375A" w14:textId="1C67D9BB" w:rsidR="001F6251" w:rsidRDefault="001F6251" w:rsidP="001F6251">
            <w:pPr>
              <w:pStyle w:val="TableText"/>
              <w:jc w:val="right"/>
              <w:cnfStyle w:val="000000000000" w:firstRow="0" w:lastRow="0" w:firstColumn="0" w:lastColumn="0" w:oddVBand="0" w:evenVBand="0" w:oddHBand="0" w:evenHBand="0" w:firstRowFirstColumn="0" w:firstRowLastColumn="0" w:lastRowFirstColumn="0" w:lastRowLastColumn="0"/>
            </w:pPr>
            <w:r>
              <w:t>2,514,582</w:t>
            </w:r>
          </w:p>
        </w:tc>
        <w:tc>
          <w:tcPr>
            <w:tcW w:w="0" w:type="dxa"/>
          </w:tcPr>
          <w:p w14:paraId="5EB935CF" w14:textId="64D41B8A" w:rsidR="001F6251" w:rsidRDefault="001F6251" w:rsidP="001F6251">
            <w:pPr>
              <w:pStyle w:val="TableText"/>
              <w:jc w:val="right"/>
              <w:cnfStyle w:val="000000000000" w:firstRow="0" w:lastRow="0" w:firstColumn="0" w:lastColumn="0" w:oddVBand="0" w:evenVBand="0" w:oddHBand="0" w:evenHBand="0" w:firstRowFirstColumn="0" w:firstRowLastColumn="0" w:lastRowFirstColumn="0" w:lastRowLastColumn="0"/>
            </w:pPr>
            <w:r>
              <w:t>8,631,995</w:t>
            </w:r>
          </w:p>
        </w:tc>
        <w:tc>
          <w:tcPr>
            <w:tcW w:w="0" w:type="dxa"/>
          </w:tcPr>
          <w:p w14:paraId="025241CC" w14:textId="588918A0" w:rsidR="001F6251" w:rsidRDefault="001F6251" w:rsidP="001F6251">
            <w:pPr>
              <w:pStyle w:val="TableText"/>
              <w:jc w:val="right"/>
              <w:cnfStyle w:val="000000000000" w:firstRow="0" w:lastRow="0" w:firstColumn="0" w:lastColumn="0" w:oddVBand="0" w:evenVBand="0" w:oddHBand="0" w:evenHBand="0" w:firstRowFirstColumn="0" w:firstRowLastColumn="0" w:lastRowFirstColumn="0" w:lastRowLastColumn="0"/>
            </w:pPr>
            <w:r>
              <w:t>2,158,692</w:t>
            </w:r>
          </w:p>
        </w:tc>
        <w:tc>
          <w:tcPr>
            <w:tcW w:w="0" w:type="dxa"/>
          </w:tcPr>
          <w:p w14:paraId="28B2E702" w14:textId="159BA23A" w:rsidR="001F6251" w:rsidRDefault="001F6251" w:rsidP="001F6251">
            <w:pPr>
              <w:pStyle w:val="TableText"/>
              <w:jc w:val="right"/>
              <w:cnfStyle w:val="000000000000" w:firstRow="0" w:lastRow="0" w:firstColumn="0" w:lastColumn="0" w:oddVBand="0" w:evenVBand="0" w:oddHBand="0" w:evenHBand="0" w:firstRowFirstColumn="0" w:firstRowLastColumn="0" w:lastRowFirstColumn="0" w:lastRowLastColumn="0"/>
            </w:pPr>
            <w:r>
              <w:t>7,518,037</w:t>
            </w:r>
          </w:p>
        </w:tc>
        <w:tc>
          <w:tcPr>
            <w:tcW w:w="0" w:type="dxa"/>
          </w:tcPr>
          <w:p w14:paraId="7254FE89" w14:textId="7C9F1967" w:rsidR="001F6251" w:rsidRDefault="001F6251" w:rsidP="001F6251">
            <w:pPr>
              <w:pStyle w:val="TableText"/>
              <w:jc w:val="right"/>
              <w:cnfStyle w:val="000000000000" w:firstRow="0" w:lastRow="0" w:firstColumn="0" w:lastColumn="0" w:oddVBand="0" w:evenVBand="0" w:oddHBand="0" w:evenHBand="0" w:firstRowFirstColumn="0" w:firstRowLastColumn="0" w:lastRowFirstColumn="0" w:lastRowLastColumn="0"/>
            </w:pPr>
            <w:r>
              <w:t>87%</w:t>
            </w:r>
          </w:p>
        </w:tc>
        <w:tc>
          <w:tcPr>
            <w:tcW w:w="0" w:type="dxa"/>
          </w:tcPr>
          <w:p w14:paraId="41B5B133" w14:textId="7E9E770E" w:rsidR="001F6251" w:rsidRDefault="001F6251" w:rsidP="001F6251">
            <w:pPr>
              <w:pStyle w:val="TableText"/>
              <w:cnfStyle w:val="000000000000" w:firstRow="0" w:lastRow="0" w:firstColumn="0" w:lastColumn="0" w:oddVBand="0" w:evenVBand="0" w:oddHBand="0" w:evenHBand="0" w:firstRowFirstColumn="0" w:firstRowLastColumn="0" w:lastRowFirstColumn="0" w:lastRowLastColumn="0"/>
            </w:pPr>
            <w:r>
              <w:t>Y</w:t>
            </w:r>
          </w:p>
        </w:tc>
        <w:tc>
          <w:tcPr>
            <w:tcW w:w="0" w:type="dxa"/>
          </w:tcPr>
          <w:p w14:paraId="725BCCDD" w14:textId="77777777" w:rsidR="001F6251" w:rsidRDefault="001F6251" w:rsidP="001F6251">
            <w:pPr>
              <w:pStyle w:val="TableText"/>
              <w:cnfStyle w:val="000000000000" w:firstRow="0" w:lastRow="0" w:firstColumn="0" w:lastColumn="0" w:oddVBand="0" w:evenVBand="0" w:oddHBand="0" w:evenHBand="0" w:firstRowFirstColumn="0" w:firstRowLastColumn="0" w:lastRowFirstColumn="0" w:lastRowLastColumn="0"/>
            </w:pPr>
          </w:p>
        </w:tc>
      </w:tr>
      <w:tr w:rsidR="001F6251" w14:paraId="37B2420D" w14:textId="77777777" w:rsidTr="00622F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Pr>
          <w:p w14:paraId="705D6389" w14:textId="100F4C8B" w:rsidR="001F6251" w:rsidRDefault="001F6251" w:rsidP="001F6251">
            <w:pPr>
              <w:pStyle w:val="TableText"/>
            </w:pPr>
            <w:r>
              <w:t xml:space="preserve">May </w:t>
            </w:r>
            <w:r w:rsidR="00363078">
              <w:t>22</w:t>
            </w:r>
          </w:p>
        </w:tc>
        <w:tc>
          <w:tcPr>
            <w:tcW w:w="984" w:type="dxa"/>
          </w:tcPr>
          <w:p w14:paraId="49C06652" w14:textId="77777777" w:rsidR="001F6251" w:rsidRDefault="001F6251" w:rsidP="001F6251">
            <w:pPr>
              <w:pStyle w:val="TableText"/>
              <w:jc w:val="right"/>
              <w:cnfStyle w:val="000000100000" w:firstRow="0" w:lastRow="0" w:firstColumn="0" w:lastColumn="0" w:oddVBand="0" w:evenVBand="0" w:oddHBand="1" w:evenHBand="0" w:firstRowFirstColumn="0" w:firstRowLastColumn="0" w:lastRowFirstColumn="0" w:lastRowLastColumn="0"/>
            </w:pPr>
          </w:p>
        </w:tc>
        <w:tc>
          <w:tcPr>
            <w:tcW w:w="0" w:type="dxa"/>
          </w:tcPr>
          <w:p w14:paraId="752232D3" w14:textId="77777777" w:rsidR="001F6251" w:rsidRDefault="001F6251" w:rsidP="001F6251">
            <w:pPr>
              <w:pStyle w:val="TableText"/>
              <w:jc w:val="right"/>
              <w:cnfStyle w:val="000000100000" w:firstRow="0" w:lastRow="0" w:firstColumn="0" w:lastColumn="0" w:oddVBand="0" w:evenVBand="0" w:oddHBand="1" w:evenHBand="0" w:firstRowFirstColumn="0" w:firstRowLastColumn="0" w:lastRowFirstColumn="0" w:lastRowLastColumn="0"/>
            </w:pPr>
          </w:p>
        </w:tc>
        <w:tc>
          <w:tcPr>
            <w:tcW w:w="0" w:type="dxa"/>
          </w:tcPr>
          <w:p w14:paraId="3C04BD17" w14:textId="77777777" w:rsidR="001F6251" w:rsidRDefault="001F6251" w:rsidP="001F6251">
            <w:pPr>
              <w:pStyle w:val="TableText"/>
              <w:jc w:val="right"/>
              <w:cnfStyle w:val="000000100000" w:firstRow="0" w:lastRow="0" w:firstColumn="0" w:lastColumn="0" w:oddVBand="0" w:evenVBand="0" w:oddHBand="1" w:evenHBand="0" w:firstRowFirstColumn="0" w:firstRowLastColumn="0" w:lastRowFirstColumn="0" w:lastRowLastColumn="0"/>
            </w:pPr>
          </w:p>
        </w:tc>
        <w:tc>
          <w:tcPr>
            <w:tcW w:w="0" w:type="dxa"/>
          </w:tcPr>
          <w:p w14:paraId="1CD6FFB0" w14:textId="77777777" w:rsidR="001F6251" w:rsidRDefault="001F6251" w:rsidP="001F6251">
            <w:pPr>
              <w:pStyle w:val="TableText"/>
              <w:jc w:val="right"/>
              <w:cnfStyle w:val="000000100000" w:firstRow="0" w:lastRow="0" w:firstColumn="0" w:lastColumn="0" w:oddVBand="0" w:evenVBand="0" w:oddHBand="1" w:evenHBand="0" w:firstRowFirstColumn="0" w:firstRowLastColumn="0" w:lastRowFirstColumn="0" w:lastRowLastColumn="0"/>
            </w:pPr>
          </w:p>
        </w:tc>
        <w:tc>
          <w:tcPr>
            <w:tcW w:w="0" w:type="dxa"/>
          </w:tcPr>
          <w:p w14:paraId="7F1BBEBA" w14:textId="77777777" w:rsidR="001F6251" w:rsidRDefault="001F6251" w:rsidP="001F6251">
            <w:pPr>
              <w:pStyle w:val="TableText"/>
              <w:jc w:val="right"/>
              <w:cnfStyle w:val="000000100000" w:firstRow="0" w:lastRow="0" w:firstColumn="0" w:lastColumn="0" w:oddVBand="0" w:evenVBand="0" w:oddHBand="1" w:evenHBand="0" w:firstRowFirstColumn="0" w:firstRowLastColumn="0" w:lastRowFirstColumn="0" w:lastRowLastColumn="0"/>
            </w:pPr>
          </w:p>
        </w:tc>
        <w:tc>
          <w:tcPr>
            <w:tcW w:w="0" w:type="dxa"/>
          </w:tcPr>
          <w:p w14:paraId="6670E3D3" w14:textId="77777777" w:rsidR="001F6251" w:rsidRDefault="001F6251" w:rsidP="001F6251">
            <w:pPr>
              <w:pStyle w:val="TableText"/>
              <w:cnfStyle w:val="000000100000" w:firstRow="0" w:lastRow="0" w:firstColumn="0" w:lastColumn="0" w:oddVBand="0" w:evenVBand="0" w:oddHBand="1" w:evenHBand="0" w:firstRowFirstColumn="0" w:firstRowLastColumn="0" w:lastRowFirstColumn="0" w:lastRowLastColumn="0"/>
            </w:pPr>
          </w:p>
        </w:tc>
        <w:tc>
          <w:tcPr>
            <w:tcW w:w="0" w:type="dxa"/>
          </w:tcPr>
          <w:p w14:paraId="13E0F20B" w14:textId="77777777" w:rsidR="001F6251" w:rsidRDefault="001F6251" w:rsidP="001F6251">
            <w:pPr>
              <w:pStyle w:val="TableText"/>
              <w:cnfStyle w:val="000000100000" w:firstRow="0" w:lastRow="0" w:firstColumn="0" w:lastColumn="0" w:oddVBand="0" w:evenVBand="0" w:oddHBand="1" w:evenHBand="0" w:firstRowFirstColumn="0" w:firstRowLastColumn="0" w:lastRowFirstColumn="0" w:lastRowLastColumn="0"/>
            </w:pPr>
          </w:p>
        </w:tc>
      </w:tr>
      <w:tr w:rsidR="001F6251" w14:paraId="49784A3E" w14:textId="77777777" w:rsidTr="00622FB0">
        <w:tc>
          <w:tcPr>
            <w:cnfStyle w:val="001000000000" w:firstRow="0" w:lastRow="0" w:firstColumn="1" w:lastColumn="0" w:oddVBand="0" w:evenVBand="0" w:oddHBand="0" w:evenHBand="0" w:firstRowFirstColumn="0" w:firstRowLastColumn="0" w:lastRowFirstColumn="0" w:lastRowLastColumn="0"/>
            <w:tcW w:w="1134" w:type="dxa"/>
          </w:tcPr>
          <w:p w14:paraId="0B8EF927" w14:textId="5850CE61" w:rsidR="001F6251" w:rsidRDefault="001F6251" w:rsidP="001F6251">
            <w:pPr>
              <w:pStyle w:val="TableText"/>
            </w:pPr>
            <w:r>
              <w:t xml:space="preserve">June </w:t>
            </w:r>
            <w:r w:rsidR="00363078">
              <w:t>22</w:t>
            </w:r>
          </w:p>
        </w:tc>
        <w:tc>
          <w:tcPr>
            <w:tcW w:w="984" w:type="dxa"/>
          </w:tcPr>
          <w:p w14:paraId="06F8F3AF" w14:textId="77777777" w:rsidR="001F6251" w:rsidRDefault="001F6251" w:rsidP="001F6251">
            <w:pPr>
              <w:pStyle w:val="TableText"/>
              <w:jc w:val="right"/>
              <w:cnfStyle w:val="000000000000" w:firstRow="0" w:lastRow="0" w:firstColumn="0" w:lastColumn="0" w:oddVBand="0" w:evenVBand="0" w:oddHBand="0" w:evenHBand="0" w:firstRowFirstColumn="0" w:firstRowLastColumn="0" w:lastRowFirstColumn="0" w:lastRowLastColumn="0"/>
            </w:pPr>
          </w:p>
        </w:tc>
        <w:tc>
          <w:tcPr>
            <w:tcW w:w="0" w:type="dxa"/>
          </w:tcPr>
          <w:p w14:paraId="17A941FD" w14:textId="77777777" w:rsidR="001F6251" w:rsidRDefault="001F6251" w:rsidP="001F6251">
            <w:pPr>
              <w:pStyle w:val="TableText"/>
              <w:jc w:val="right"/>
              <w:cnfStyle w:val="000000000000" w:firstRow="0" w:lastRow="0" w:firstColumn="0" w:lastColumn="0" w:oddVBand="0" w:evenVBand="0" w:oddHBand="0" w:evenHBand="0" w:firstRowFirstColumn="0" w:firstRowLastColumn="0" w:lastRowFirstColumn="0" w:lastRowLastColumn="0"/>
            </w:pPr>
          </w:p>
        </w:tc>
        <w:tc>
          <w:tcPr>
            <w:tcW w:w="0" w:type="dxa"/>
          </w:tcPr>
          <w:p w14:paraId="53555057" w14:textId="77777777" w:rsidR="001F6251" w:rsidRDefault="001F6251" w:rsidP="001F6251">
            <w:pPr>
              <w:pStyle w:val="TableText"/>
              <w:jc w:val="right"/>
              <w:cnfStyle w:val="000000000000" w:firstRow="0" w:lastRow="0" w:firstColumn="0" w:lastColumn="0" w:oddVBand="0" w:evenVBand="0" w:oddHBand="0" w:evenHBand="0" w:firstRowFirstColumn="0" w:firstRowLastColumn="0" w:lastRowFirstColumn="0" w:lastRowLastColumn="0"/>
            </w:pPr>
          </w:p>
        </w:tc>
        <w:tc>
          <w:tcPr>
            <w:tcW w:w="0" w:type="dxa"/>
          </w:tcPr>
          <w:p w14:paraId="0AF7F3BF" w14:textId="77777777" w:rsidR="001F6251" w:rsidRDefault="001F6251" w:rsidP="001F6251">
            <w:pPr>
              <w:pStyle w:val="TableText"/>
              <w:jc w:val="right"/>
              <w:cnfStyle w:val="000000000000" w:firstRow="0" w:lastRow="0" w:firstColumn="0" w:lastColumn="0" w:oddVBand="0" w:evenVBand="0" w:oddHBand="0" w:evenHBand="0" w:firstRowFirstColumn="0" w:firstRowLastColumn="0" w:lastRowFirstColumn="0" w:lastRowLastColumn="0"/>
            </w:pPr>
          </w:p>
        </w:tc>
        <w:tc>
          <w:tcPr>
            <w:tcW w:w="0" w:type="dxa"/>
          </w:tcPr>
          <w:p w14:paraId="654EAD91" w14:textId="77777777" w:rsidR="001F6251" w:rsidRDefault="001F6251" w:rsidP="001F6251">
            <w:pPr>
              <w:pStyle w:val="TableText"/>
              <w:jc w:val="right"/>
              <w:cnfStyle w:val="000000000000" w:firstRow="0" w:lastRow="0" w:firstColumn="0" w:lastColumn="0" w:oddVBand="0" w:evenVBand="0" w:oddHBand="0" w:evenHBand="0" w:firstRowFirstColumn="0" w:firstRowLastColumn="0" w:lastRowFirstColumn="0" w:lastRowLastColumn="0"/>
            </w:pPr>
          </w:p>
        </w:tc>
        <w:tc>
          <w:tcPr>
            <w:tcW w:w="0" w:type="dxa"/>
          </w:tcPr>
          <w:p w14:paraId="166582F2" w14:textId="77777777" w:rsidR="001F6251" w:rsidRDefault="001F6251" w:rsidP="001F6251">
            <w:pPr>
              <w:pStyle w:val="TableText"/>
              <w:cnfStyle w:val="000000000000" w:firstRow="0" w:lastRow="0" w:firstColumn="0" w:lastColumn="0" w:oddVBand="0" w:evenVBand="0" w:oddHBand="0" w:evenHBand="0" w:firstRowFirstColumn="0" w:firstRowLastColumn="0" w:lastRowFirstColumn="0" w:lastRowLastColumn="0"/>
            </w:pPr>
          </w:p>
        </w:tc>
        <w:tc>
          <w:tcPr>
            <w:tcW w:w="0" w:type="dxa"/>
          </w:tcPr>
          <w:p w14:paraId="4F5D4DA3" w14:textId="77777777" w:rsidR="001F6251" w:rsidRDefault="001F6251" w:rsidP="001F6251">
            <w:pPr>
              <w:pStyle w:val="TableText"/>
              <w:cnfStyle w:val="000000000000" w:firstRow="0" w:lastRow="0" w:firstColumn="0" w:lastColumn="0" w:oddVBand="0" w:evenVBand="0" w:oddHBand="0" w:evenHBand="0" w:firstRowFirstColumn="0" w:firstRowLastColumn="0" w:lastRowFirstColumn="0" w:lastRowLastColumn="0"/>
            </w:pPr>
          </w:p>
        </w:tc>
      </w:tr>
      <w:tr w:rsidR="001F6251" w14:paraId="6641103F" w14:textId="77777777" w:rsidTr="00622F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Pr>
          <w:p w14:paraId="03275357" w14:textId="15974FC6" w:rsidR="001F6251" w:rsidRDefault="001F6251" w:rsidP="001F6251">
            <w:pPr>
              <w:pStyle w:val="TableText"/>
            </w:pPr>
            <w:r>
              <w:t xml:space="preserve">July </w:t>
            </w:r>
            <w:r w:rsidR="00363078">
              <w:t>22</w:t>
            </w:r>
          </w:p>
        </w:tc>
        <w:tc>
          <w:tcPr>
            <w:tcW w:w="984" w:type="dxa"/>
          </w:tcPr>
          <w:p w14:paraId="16B4F22C" w14:textId="77777777" w:rsidR="001F6251" w:rsidRDefault="001F6251" w:rsidP="001F6251">
            <w:pPr>
              <w:pStyle w:val="TableText"/>
              <w:jc w:val="right"/>
              <w:cnfStyle w:val="000000100000" w:firstRow="0" w:lastRow="0" w:firstColumn="0" w:lastColumn="0" w:oddVBand="0" w:evenVBand="0" w:oddHBand="1" w:evenHBand="0" w:firstRowFirstColumn="0" w:firstRowLastColumn="0" w:lastRowFirstColumn="0" w:lastRowLastColumn="0"/>
            </w:pPr>
          </w:p>
        </w:tc>
        <w:tc>
          <w:tcPr>
            <w:tcW w:w="0" w:type="dxa"/>
          </w:tcPr>
          <w:p w14:paraId="36BB32FE" w14:textId="77777777" w:rsidR="001F6251" w:rsidRDefault="001F6251" w:rsidP="001F6251">
            <w:pPr>
              <w:pStyle w:val="TableText"/>
              <w:jc w:val="right"/>
              <w:cnfStyle w:val="000000100000" w:firstRow="0" w:lastRow="0" w:firstColumn="0" w:lastColumn="0" w:oddVBand="0" w:evenVBand="0" w:oddHBand="1" w:evenHBand="0" w:firstRowFirstColumn="0" w:firstRowLastColumn="0" w:lastRowFirstColumn="0" w:lastRowLastColumn="0"/>
            </w:pPr>
          </w:p>
        </w:tc>
        <w:tc>
          <w:tcPr>
            <w:tcW w:w="0" w:type="dxa"/>
          </w:tcPr>
          <w:p w14:paraId="469FFCCF" w14:textId="77777777" w:rsidR="001F6251" w:rsidRDefault="001F6251" w:rsidP="001F6251">
            <w:pPr>
              <w:pStyle w:val="TableText"/>
              <w:jc w:val="right"/>
              <w:cnfStyle w:val="000000100000" w:firstRow="0" w:lastRow="0" w:firstColumn="0" w:lastColumn="0" w:oddVBand="0" w:evenVBand="0" w:oddHBand="1" w:evenHBand="0" w:firstRowFirstColumn="0" w:firstRowLastColumn="0" w:lastRowFirstColumn="0" w:lastRowLastColumn="0"/>
            </w:pPr>
          </w:p>
        </w:tc>
        <w:tc>
          <w:tcPr>
            <w:tcW w:w="0" w:type="dxa"/>
          </w:tcPr>
          <w:p w14:paraId="02B2766E" w14:textId="77777777" w:rsidR="001F6251" w:rsidRDefault="001F6251" w:rsidP="001F6251">
            <w:pPr>
              <w:pStyle w:val="TableText"/>
              <w:jc w:val="right"/>
              <w:cnfStyle w:val="000000100000" w:firstRow="0" w:lastRow="0" w:firstColumn="0" w:lastColumn="0" w:oddVBand="0" w:evenVBand="0" w:oddHBand="1" w:evenHBand="0" w:firstRowFirstColumn="0" w:firstRowLastColumn="0" w:lastRowFirstColumn="0" w:lastRowLastColumn="0"/>
            </w:pPr>
          </w:p>
        </w:tc>
        <w:tc>
          <w:tcPr>
            <w:tcW w:w="0" w:type="dxa"/>
          </w:tcPr>
          <w:p w14:paraId="13761CA6" w14:textId="77777777" w:rsidR="001F6251" w:rsidRDefault="001F6251" w:rsidP="001F6251">
            <w:pPr>
              <w:pStyle w:val="TableText"/>
              <w:jc w:val="right"/>
              <w:cnfStyle w:val="000000100000" w:firstRow="0" w:lastRow="0" w:firstColumn="0" w:lastColumn="0" w:oddVBand="0" w:evenVBand="0" w:oddHBand="1" w:evenHBand="0" w:firstRowFirstColumn="0" w:firstRowLastColumn="0" w:lastRowFirstColumn="0" w:lastRowLastColumn="0"/>
            </w:pPr>
          </w:p>
        </w:tc>
        <w:tc>
          <w:tcPr>
            <w:tcW w:w="0" w:type="dxa"/>
          </w:tcPr>
          <w:p w14:paraId="3535D91C" w14:textId="77777777" w:rsidR="001F6251" w:rsidRDefault="001F6251" w:rsidP="001F6251">
            <w:pPr>
              <w:pStyle w:val="TableText"/>
              <w:cnfStyle w:val="000000100000" w:firstRow="0" w:lastRow="0" w:firstColumn="0" w:lastColumn="0" w:oddVBand="0" w:evenVBand="0" w:oddHBand="1" w:evenHBand="0" w:firstRowFirstColumn="0" w:firstRowLastColumn="0" w:lastRowFirstColumn="0" w:lastRowLastColumn="0"/>
            </w:pPr>
          </w:p>
        </w:tc>
        <w:tc>
          <w:tcPr>
            <w:tcW w:w="0" w:type="dxa"/>
          </w:tcPr>
          <w:p w14:paraId="6DD6D89E" w14:textId="77777777" w:rsidR="001F6251" w:rsidRDefault="001F6251" w:rsidP="001F6251">
            <w:pPr>
              <w:pStyle w:val="TableText"/>
              <w:cnfStyle w:val="000000100000" w:firstRow="0" w:lastRow="0" w:firstColumn="0" w:lastColumn="0" w:oddVBand="0" w:evenVBand="0" w:oddHBand="1" w:evenHBand="0" w:firstRowFirstColumn="0" w:firstRowLastColumn="0" w:lastRowFirstColumn="0" w:lastRowLastColumn="0"/>
            </w:pPr>
          </w:p>
        </w:tc>
      </w:tr>
      <w:tr w:rsidR="001F6251" w14:paraId="6DCB6F6B" w14:textId="77777777" w:rsidTr="00622FB0">
        <w:tc>
          <w:tcPr>
            <w:cnfStyle w:val="001000000000" w:firstRow="0" w:lastRow="0" w:firstColumn="1" w:lastColumn="0" w:oddVBand="0" w:evenVBand="0" w:oddHBand="0" w:evenHBand="0" w:firstRowFirstColumn="0" w:firstRowLastColumn="0" w:lastRowFirstColumn="0" w:lastRowLastColumn="0"/>
            <w:tcW w:w="1134" w:type="dxa"/>
          </w:tcPr>
          <w:p w14:paraId="00980751" w14:textId="5E1686A7" w:rsidR="001F6251" w:rsidRDefault="001F6251" w:rsidP="001F6251">
            <w:pPr>
              <w:pStyle w:val="TableText"/>
            </w:pPr>
            <w:r>
              <w:t xml:space="preserve">Aug </w:t>
            </w:r>
            <w:r w:rsidR="00363078">
              <w:t>22</w:t>
            </w:r>
          </w:p>
        </w:tc>
        <w:tc>
          <w:tcPr>
            <w:tcW w:w="984" w:type="dxa"/>
          </w:tcPr>
          <w:p w14:paraId="635D5EAE" w14:textId="77777777" w:rsidR="001F6251" w:rsidRDefault="001F6251" w:rsidP="001F6251">
            <w:pPr>
              <w:pStyle w:val="TableText"/>
              <w:jc w:val="right"/>
              <w:cnfStyle w:val="000000000000" w:firstRow="0" w:lastRow="0" w:firstColumn="0" w:lastColumn="0" w:oddVBand="0" w:evenVBand="0" w:oddHBand="0" w:evenHBand="0" w:firstRowFirstColumn="0" w:firstRowLastColumn="0" w:lastRowFirstColumn="0" w:lastRowLastColumn="0"/>
            </w:pPr>
          </w:p>
        </w:tc>
        <w:tc>
          <w:tcPr>
            <w:tcW w:w="0" w:type="dxa"/>
          </w:tcPr>
          <w:p w14:paraId="10061228" w14:textId="77777777" w:rsidR="001F6251" w:rsidRDefault="001F6251" w:rsidP="001F6251">
            <w:pPr>
              <w:pStyle w:val="TableText"/>
              <w:jc w:val="right"/>
              <w:cnfStyle w:val="000000000000" w:firstRow="0" w:lastRow="0" w:firstColumn="0" w:lastColumn="0" w:oddVBand="0" w:evenVBand="0" w:oddHBand="0" w:evenHBand="0" w:firstRowFirstColumn="0" w:firstRowLastColumn="0" w:lastRowFirstColumn="0" w:lastRowLastColumn="0"/>
            </w:pPr>
          </w:p>
        </w:tc>
        <w:tc>
          <w:tcPr>
            <w:tcW w:w="0" w:type="dxa"/>
          </w:tcPr>
          <w:p w14:paraId="53F33869" w14:textId="77777777" w:rsidR="001F6251" w:rsidRDefault="001F6251" w:rsidP="001F6251">
            <w:pPr>
              <w:pStyle w:val="TableText"/>
              <w:jc w:val="right"/>
              <w:cnfStyle w:val="000000000000" w:firstRow="0" w:lastRow="0" w:firstColumn="0" w:lastColumn="0" w:oddVBand="0" w:evenVBand="0" w:oddHBand="0" w:evenHBand="0" w:firstRowFirstColumn="0" w:firstRowLastColumn="0" w:lastRowFirstColumn="0" w:lastRowLastColumn="0"/>
            </w:pPr>
          </w:p>
        </w:tc>
        <w:tc>
          <w:tcPr>
            <w:tcW w:w="0" w:type="dxa"/>
          </w:tcPr>
          <w:p w14:paraId="34C7F09B" w14:textId="77777777" w:rsidR="001F6251" w:rsidRDefault="001F6251" w:rsidP="001F6251">
            <w:pPr>
              <w:pStyle w:val="TableText"/>
              <w:jc w:val="right"/>
              <w:cnfStyle w:val="000000000000" w:firstRow="0" w:lastRow="0" w:firstColumn="0" w:lastColumn="0" w:oddVBand="0" w:evenVBand="0" w:oddHBand="0" w:evenHBand="0" w:firstRowFirstColumn="0" w:firstRowLastColumn="0" w:lastRowFirstColumn="0" w:lastRowLastColumn="0"/>
            </w:pPr>
          </w:p>
        </w:tc>
        <w:tc>
          <w:tcPr>
            <w:tcW w:w="0" w:type="dxa"/>
          </w:tcPr>
          <w:p w14:paraId="756649B0" w14:textId="77777777" w:rsidR="001F6251" w:rsidRDefault="001F6251" w:rsidP="001F6251">
            <w:pPr>
              <w:pStyle w:val="TableText"/>
              <w:jc w:val="right"/>
              <w:cnfStyle w:val="000000000000" w:firstRow="0" w:lastRow="0" w:firstColumn="0" w:lastColumn="0" w:oddVBand="0" w:evenVBand="0" w:oddHBand="0" w:evenHBand="0" w:firstRowFirstColumn="0" w:firstRowLastColumn="0" w:lastRowFirstColumn="0" w:lastRowLastColumn="0"/>
            </w:pPr>
          </w:p>
        </w:tc>
        <w:tc>
          <w:tcPr>
            <w:tcW w:w="0" w:type="dxa"/>
          </w:tcPr>
          <w:p w14:paraId="7025EDE7" w14:textId="77777777" w:rsidR="001F6251" w:rsidRDefault="001F6251" w:rsidP="001F6251">
            <w:pPr>
              <w:pStyle w:val="TableText"/>
              <w:cnfStyle w:val="000000000000" w:firstRow="0" w:lastRow="0" w:firstColumn="0" w:lastColumn="0" w:oddVBand="0" w:evenVBand="0" w:oddHBand="0" w:evenHBand="0" w:firstRowFirstColumn="0" w:firstRowLastColumn="0" w:lastRowFirstColumn="0" w:lastRowLastColumn="0"/>
            </w:pPr>
          </w:p>
        </w:tc>
        <w:tc>
          <w:tcPr>
            <w:tcW w:w="0" w:type="dxa"/>
          </w:tcPr>
          <w:p w14:paraId="7A24B89E" w14:textId="77777777" w:rsidR="001F6251" w:rsidRDefault="001F6251" w:rsidP="001F6251">
            <w:pPr>
              <w:pStyle w:val="TableText"/>
              <w:cnfStyle w:val="000000000000" w:firstRow="0" w:lastRow="0" w:firstColumn="0" w:lastColumn="0" w:oddVBand="0" w:evenVBand="0" w:oddHBand="0" w:evenHBand="0" w:firstRowFirstColumn="0" w:firstRowLastColumn="0" w:lastRowFirstColumn="0" w:lastRowLastColumn="0"/>
            </w:pPr>
          </w:p>
        </w:tc>
      </w:tr>
      <w:tr w:rsidR="001F6251" w14:paraId="72825898" w14:textId="77777777" w:rsidTr="00622F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Pr>
          <w:p w14:paraId="3D037791" w14:textId="012DCB2B" w:rsidR="001F6251" w:rsidRDefault="001F6251" w:rsidP="001F6251">
            <w:pPr>
              <w:pStyle w:val="TableText"/>
            </w:pPr>
            <w:r>
              <w:t xml:space="preserve">Sep </w:t>
            </w:r>
            <w:r w:rsidR="00363078">
              <w:t>22</w:t>
            </w:r>
          </w:p>
        </w:tc>
        <w:tc>
          <w:tcPr>
            <w:tcW w:w="984" w:type="dxa"/>
          </w:tcPr>
          <w:p w14:paraId="490ED835" w14:textId="77777777" w:rsidR="001F6251" w:rsidRDefault="001F6251" w:rsidP="001F6251">
            <w:pPr>
              <w:pStyle w:val="TableText"/>
              <w:jc w:val="right"/>
              <w:cnfStyle w:val="000000100000" w:firstRow="0" w:lastRow="0" w:firstColumn="0" w:lastColumn="0" w:oddVBand="0" w:evenVBand="0" w:oddHBand="1" w:evenHBand="0" w:firstRowFirstColumn="0" w:firstRowLastColumn="0" w:lastRowFirstColumn="0" w:lastRowLastColumn="0"/>
            </w:pPr>
          </w:p>
        </w:tc>
        <w:tc>
          <w:tcPr>
            <w:tcW w:w="0" w:type="dxa"/>
          </w:tcPr>
          <w:p w14:paraId="59893D9F" w14:textId="77777777" w:rsidR="001F6251" w:rsidRDefault="001F6251" w:rsidP="001F6251">
            <w:pPr>
              <w:pStyle w:val="TableText"/>
              <w:jc w:val="right"/>
              <w:cnfStyle w:val="000000100000" w:firstRow="0" w:lastRow="0" w:firstColumn="0" w:lastColumn="0" w:oddVBand="0" w:evenVBand="0" w:oddHBand="1" w:evenHBand="0" w:firstRowFirstColumn="0" w:firstRowLastColumn="0" w:lastRowFirstColumn="0" w:lastRowLastColumn="0"/>
            </w:pPr>
          </w:p>
        </w:tc>
        <w:tc>
          <w:tcPr>
            <w:tcW w:w="0" w:type="dxa"/>
          </w:tcPr>
          <w:p w14:paraId="010DEAD6" w14:textId="77777777" w:rsidR="001F6251" w:rsidRDefault="001F6251" w:rsidP="001F6251">
            <w:pPr>
              <w:pStyle w:val="TableText"/>
              <w:jc w:val="right"/>
              <w:cnfStyle w:val="000000100000" w:firstRow="0" w:lastRow="0" w:firstColumn="0" w:lastColumn="0" w:oddVBand="0" w:evenVBand="0" w:oddHBand="1" w:evenHBand="0" w:firstRowFirstColumn="0" w:firstRowLastColumn="0" w:lastRowFirstColumn="0" w:lastRowLastColumn="0"/>
            </w:pPr>
          </w:p>
        </w:tc>
        <w:tc>
          <w:tcPr>
            <w:tcW w:w="0" w:type="dxa"/>
          </w:tcPr>
          <w:p w14:paraId="0DF6C0B4" w14:textId="77777777" w:rsidR="001F6251" w:rsidRDefault="001F6251" w:rsidP="001F6251">
            <w:pPr>
              <w:pStyle w:val="TableText"/>
              <w:jc w:val="right"/>
              <w:cnfStyle w:val="000000100000" w:firstRow="0" w:lastRow="0" w:firstColumn="0" w:lastColumn="0" w:oddVBand="0" w:evenVBand="0" w:oddHBand="1" w:evenHBand="0" w:firstRowFirstColumn="0" w:firstRowLastColumn="0" w:lastRowFirstColumn="0" w:lastRowLastColumn="0"/>
            </w:pPr>
          </w:p>
        </w:tc>
        <w:tc>
          <w:tcPr>
            <w:tcW w:w="0" w:type="dxa"/>
          </w:tcPr>
          <w:p w14:paraId="4E4B6C44" w14:textId="77777777" w:rsidR="001F6251" w:rsidRDefault="001F6251" w:rsidP="001F6251">
            <w:pPr>
              <w:pStyle w:val="TableText"/>
              <w:jc w:val="right"/>
              <w:cnfStyle w:val="000000100000" w:firstRow="0" w:lastRow="0" w:firstColumn="0" w:lastColumn="0" w:oddVBand="0" w:evenVBand="0" w:oddHBand="1" w:evenHBand="0" w:firstRowFirstColumn="0" w:firstRowLastColumn="0" w:lastRowFirstColumn="0" w:lastRowLastColumn="0"/>
            </w:pPr>
          </w:p>
        </w:tc>
        <w:tc>
          <w:tcPr>
            <w:tcW w:w="0" w:type="dxa"/>
          </w:tcPr>
          <w:p w14:paraId="3E855EDB" w14:textId="77777777" w:rsidR="001F6251" w:rsidRDefault="001F6251" w:rsidP="001F6251">
            <w:pPr>
              <w:pStyle w:val="TableText"/>
              <w:cnfStyle w:val="000000100000" w:firstRow="0" w:lastRow="0" w:firstColumn="0" w:lastColumn="0" w:oddVBand="0" w:evenVBand="0" w:oddHBand="1" w:evenHBand="0" w:firstRowFirstColumn="0" w:firstRowLastColumn="0" w:lastRowFirstColumn="0" w:lastRowLastColumn="0"/>
            </w:pPr>
          </w:p>
        </w:tc>
        <w:tc>
          <w:tcPr>
            <w:tcW w:w="0" w:type="dxa"/>
          </w:tcPr>
          <w:p w14:paraId="1D94DA2B" w14:textId="77777777" w:rsidR="001F6251" w:rsidRDefault="001F6251" w:rsidP="001F6251">
            <w:pPr>
              <w:pStyle w:val="TableText"/>
              <w:cnfStyle w:val="000000100000" w:firstRow="0" w:lastRow="0" w:firstColumn="0" w:lastColumn="0" w:oddVBand="0" w:evenVBand="0" w:oddHBand="1" w:evenHBand="0" w:firstRowFirstColumn="0" w:firstRowLastColumn="0" w:lastRowFirstColumn="0" w:lastRowLastColumn="0"/>
            </w:pPr>
          </w:p>
        </w:tc>
      </w:tr>
      <w:tr w:rsidR="001F6251" w14:paraId="64E2F48D" w14:textId="77777777" w:rsidTr="00622FB0">
        <w:tc>
          <w:tcPr>
            <w:cnfStyle w:val="001000000000" w:firstRow="0" w:lastRow="0" w:firstColumn="1" w:lastColumn="0" w:oddVBand="0" w:evenVBand="0" w:oddHBand="0" w:evenHBand="0" w:firstRowFirstColumn="0" w:firstRowLastColumn="0" w:lastRowFirstColumn="0" w:lastRowLastColumn="0"/>
            <w:tcW w:w="1134" w:type="dxa"/>
          </w:tcPr>
          <w:p w14:paraId="02E4D1F2" w14:textId="4AC88583" w:rsidR="001F6251" w:rsidRDefault="001F6251" w:rsidP="001F6251">
            <w:pPr>
              <w:pStyle w:val="TableText"/>
            </w:pPr>
            <w:r>
              <w:t xml:space="preserve">Oct </w:t>
            </w:r>
            <w:r w:rsidR="00363078">
              <w:t>22</w:t>
            </w:r>
          </w:p>
        </w:tc>
        <w:tc>
          <w:tcPr>
            <w:tcW w:w="984" w:type="dxa"/>
          </w:tcPr>
          <w:p w14:paraId="1F56E9C9" w14:textId="77777777" w:rsidR="001F6251" w:rsidRDefault="001F6251" w:rsidP="001F6251">
            <w:pPr>
              <w:pStyle w:val="TableText"/>
              <w:jc w:val="right"/>
              <w:cnfStyle w:val="000000000000" w:firstRow="0" w:lastRow="0" w:firstColumn="0" w:lastColumn="0" w:oddVBand="0" w:evenVBand="0" w:oddHBand="0" w:evenHBand="0" w:firstRowFirstColumn="0" w:firstRowLastColumn="0" w:lastRowFirstColumn="0" w:lastRowLastColumn="0"/>
            </w:pPr>
          </w:p>
        </w:tc>
        <w:tc>
          <w:tcPr>
            <w:tcW w:w="0" w:type="dxa"/>
          </w:tcPr>
          <w:p w14:paraId="645398B0" w14:textId="77777777" w:rsidR="001F6251" w:rsidRDefault="001F6251" w:rsidP="001F6251">
            <w:pPr>
              <w:pStyle w:val="TableText"/>
              <w:jc w:val="right"/>
              <w:cnfStyle w:val="000000000000" w:firstRow="0" w:lastRow="0" w:firstColumn="0" w:lastColumn="0" w:oddVBand="0" w:evenVBand="0" w:oddHBand="0" w:evenHBand="0" w:firstRowFirstColumn="0" w:firstRowLastColumn="0" w:lastRowFirstColumn="0" w:lastRowLastColumn="0"/>
            </w:pPr>
          </w:p>
        </w:tc>
        <w:tc>
          <w:tcPr>
            <w:tcW w:w="0" w:type="dxa"/>
          </w:tcPr>
          <w:p w14:paraId="76159284" w14:textId="77777777" w:rsidR="001F6251" w:rsidRDefault="001F6251" w:rsidP="001F6251">
            <w:pPr>
              <w:pStyle w:val="TableText"/>
              <w:jc w:val="right"/>
              <w:cnfStyle w:val="000000000000" w:firstRow="0" w:lastRow="0" w:firstColumn="0" w:lastColumn="0" w:oddVBand="0" w:evenVBand="0" w:oddHBand="0" w:evenHBand="0" w:firstRowFirstColumn="0" w:firstRowLastColumn="0" w:lastRowFirstColumn="0" w:lastRowLastColumn="0"/>
            </w:pPr>
          </w:p>
        </w:tc>
        <w:tc>
          <w:tcPr>
            <w:tcW w:w="0" w:type="dxa"/>
          </w:tcPr>
          <w:p w14:paraId="34A2D873" w14:textId="77777777" w:rsidR="001F6251" w:rsidRDefault="001F6251" w:rsidP="001F6251">
            <w:pPr>
              <w:pStyle w:val="TableText"/>
              <w:jc w:val="right"/>
              <w:cnfStyle w:val="000000000000" w:firstRow="0" w:lastRow="0" w:firstColumn="0" w:lastColumn="0" w:oddVBand="0" w:evenVBand="0" w:oddHBand="0" w:evenHBand="0" w:firstRowFirstColumn="0" w:firstRowLastColumn="0" w:lastRowFirstColumn="0" w:lastRowLastColumn="0"/>
            </w:pPr>
          </w:p>
        </w:tc>
        <w:tc>
          <w:tcPr>
            <w:tcW w:w="0" w:type="dxa"/>
          </w:tcPr>
          <w:p w14:paraId="66568F6A" w14:textId="77777777" w:rsidR="001F6251" w:rsidRDefault="001F6251" w:rsidP="001F6251">
            <w:pPr>
              <w:pStyle w:val="TableText"/>
              <w:jc w:val="right"/>
              <w:cnfStyle w:val="000000000000" w:firstRow="0" w:lastRow="0" w:firstColumn="0" w:lastColumn="0" w:oddVBand="0" w:evenVBand="0" w:oddHBand="0" w:evenHBand="0" w:firstRowFirstColumn="0" w:firstRowLastColumn="0" w:lastRowFirstColumn="0" w:lastRowLastColumn="0"/>
            </w:pPr>
          </w:p>
        </w:tc>
        <w:tc>
          <w:tcPr>
            <w:tcW w:w="0" w:type="dxa"/>
          </w:tcPr>
          <w:p w14:paraId="21C8B4F8" w14:textId="77777777" w:rsidR="001F6251" w:rsidRDefault="001F6251" w:rsidP="001F6251">
            <w:pPr>
              <w:pStyle w:val="TableText"/>
              <w:cnfStyle w:val="000000000000" w:firstRow="0" w:lastRow="0" w:firstColumn="0" w:lastColumn="0" w:oddVBand="0" w:evenVBand="0" w:oddHBand="0" w:evenHBand="0" w:firstRowFirstColumn="0" w:firstRowLastColumn="0" w:lastRowFirstColumn="0" w:lastRowLastColumn="0"/>
            </w:pPr>
          </w:p>
        </w:tc>
        <w:tc>
          <w:tcPr>
            <w:tcW w:w="0" w:type="dxa"/>
          </w:tcPr>
          <w:p w14:paraId="2BD3514E" w14:textId="77777777" w:rsidR="001F6251" w:rsidRDefault="001F6251" w:rsidP="001F6251">
            <w:pPr>
              <w:pStyle w:val="TableText"/>
              <w:cnfStyle w:val="000000000000" w:firstRow="0" w:lastRow="0" w:firstColumn="0" w:lastColumn="0" w:oddVBand="0" w:evenVBand="0" w:oddHBand="0" w:evenHBand="0" w:firstRowFirstColumn="0" w:firstRowLastColumn="0" w:lastRowFirstColumn="0" w:lastRowLastColumn="0"/>
            </w:pPr>
          </w:p>
        </w:tc>
      </w:tr>
      <w:tr w:rsidR="001F6251" w14:paraId="4711D910" w14:textId="77777777" w:rsidTr="00622F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Pr>
          <w:p w14:paraId="0311E428" w14:textId="50F2E890" w:rsidR="001F6251" w:rsidRDefault="001F6251" w:rsidP="001F6251">
            <w:pPr>
              <w:pStyle w:val="TableText"/>
            </w:pPr>
            <w:r>
              <w:t xml:space="preserve">Nov </w:t>
            </w:r>
            <w:r w:rsidR="00363078">
              <w:t>22</w:t>
            </w:r>
          </w:p>
        </w:tc>
        <w:tc>
          <w:tcPr>
            <w:tcW w:w="984" w:type="dxa"/>
          </w:tcPr>
          <w:p w14:paraId="606A96DD" w14:textId="77777777" w:rsidR="001F6251" w:rsidRDefault="001F6251" w:rsidP="001F6251">
            <w:pPr>
              <w:pStyle w:val="TableText"/>
              <w:jc w:val="right"/>
              <w:cnfStyle w:val="000000100000" w:firstRow="0" w:lastRow="0" w:firstColumn="0" w:lastColumn="0" w:oddVBand="0" w:evenVBand="0" w:oddHBand="1" w:evenHBand="0" w:firstRowFirstColumn="0" w:firstRowLastColumn="0" w:lastRowFirstColumn="0" w:lastRowLastColumn="0"/>
            </w:pPr>
          </w:p>
        </w:tc>
        <w:tc>
          <w:tcPr>
            <w:tcW w:w="0" w:type="dxa"/>
          </w:tcPr>
          <w:p w14:paraId="742A8F4D" w14:textId="77777777" w:rsidR="001F6251" w:rsidRDefault="001F6251" w:rsidP="001F6251">
            <w:pPr>
              <w:pStyle w:val="TableText"/>
              <w:jc w:val="right"/>
              <w:cnfStyle w:val="000000100000" w:firstRow="0" w:lastRow="0" w:firstColumn="0" w:lastColumn="0" w:oddVBand="0" w:evenVBand="0" w:oddHBand="1" w:evenHBand="0" w:firstRowFirstColumn="0" w:firstRowLastColumn="0" w:lastRowFirstColumn="0" w:lastRowLastColumn="0"/>
            </w:pPr>
          </w:p>
        </w:tc>
        <w:tc>
          <w:tcPr>
            <w:tcW w:w="0" w:type="dxa"/>
          </w:tcPr>
          <w:p w14:paraId="1FC866D9" w14:textId="77777777" w:rsidR="001F6251" w:rsidRDefault="001F6251" w:rsidP="001F6251">
            <w:pPr>
              <w:pStyle w:val="TableText"/>
              <w:jc w:val="right"/>
              <w:cnfStyle w:val="000000100000" w:firstRow="0" w:lastRow="0" w:firstColumn="0" w:lastColumn="0" w:oddVBand="0" w:evenVBand="0" w:oddHBand="1" w:evenHBand="0" w:firstRowFirstColumn="0" w:firstRowLastColumn="0" w:lastRowFirstColumn="0" w:lastRowLastColumn="0"/>
            </w:pPr>
          </w:p>
        </w:tc>
        <w:tc>
          <w:tcPr>
            <w:tcW w:w="0" w:type="dxa"/>
          </w:tcPr>
          <w:p w14:paraId="661E5FA2" w14:textId="77777777" w:rsidR="001F6251" w:rsidRDefault="001F6251" w:rsidP="001F6251">
            <w:pPr>
              <w:pStyle w:val="TableText"/>
              <w:jc w:val="right"/>
              <w:cnfStyle w:val="000000100000" w:firstRow="0" w:lastRow="0" w:firstColumn="0" w:lastColumn="0" w:oddVBand="0" w:evenVBand="0" w:oddHBand="1" w:evenHBand="0" w:firstRowFirstColumn="0" w:firstRowLastColumn="0" w:lastRowFirstColumn="0" w:lastRowLastColumn="0"/>
            </w:pPr>
          </w:p>
        </w:tc>
        <w:tc>
          <w:tcPr>
            <w:tcW w:w="0" w:type="dxa"/>
          </w:tcPr>
          <w:p w14:paraId="3647AAA9" w14:textId="77777777" w:rsidR="001F6251" w:rsidRDefault="001F6251" w:rsidP="001F6251">
            <w:pPr>
              <w:pStyle w:val="TableText"/>
              <w:jc w:val="right"/>
              <w:cnfStyle w:val="000000100000" w:firstRow="0" w:lastRow="0" w:firstColumn="0" w:lastColumn="0" w:oddVBand="0" w:evenVBand="0" w:oddHBand="1" w:evenHBand="0" w:firstRowFirstColumn="0" w:firstRowLastColumn="0" w:lastRowFirstColumn="0" w:lastRowLastColumn="0"/>
            </w:pPr>
          </w:p>
        </w:tc>
        <w:tc>
          <w:tcPr>
            <w:tcW w:w="0" w:type="dxa"/>
          </w:tcPr>
          <w:p w14:paraId="766AE2F1" w14:textId="77777777" w:rsidR="001F6251" w:rsidRDefault="001F6251" w:rsidP="001F6251">
            <w:pPr>
              <w:pStyle w:val="TableText"/>
              <w:cnfStyle w:val="000000100000" w:firstRow="0" w:lastRow="0" w:firstColumn="0" w:lastColumn="0" w:oddVBand="0" w:evenVBand="0" w:oddHBand="1" w:evenHBand="0" w:firstRowFirstColumn="0" w:firstRowLastColumn="0" w:lastRowFirstColumn="0" w:lastRowLastColumn="0"/>
            </w:pPr>
          </w:p>
        </w:tc>
        <w:tc>
          <w:tcPr>
            <w:tcW w:w="0" w:type="dxa"/>
          </w:tcPr>
          <w:p w14:paraId="7D9137AD" w14:textId="77777777" w:rsidR="001F6251" w:rsidRDefault="001F6251" w:rsidP="001F6251">
            <w:pPr>
              <w:pStyle w:val="TableText"/>
              <w:cnfStyle w:val="000000100000" w:firstRow="0" w:lastRow="0" w:firstColumn="0" w:lastColumn="0" w:oddVBand="0" w:evenVBand="0" w:oddHBand="1" w:evenHBand="0" w:firstRowFirstColumn="0" w:firstRowLastColumn="0" w:lastRowFirstColumn="0" w:lastRowLastColumn="0"/>
            </w:pPr>
          </w:p>
        </w:tc>
      </w:tr>
      <w:tr w:rsidR="001F6251" w14:paraId="0035E2C9" w14:textId="77777777" w:rsidTr="00622FB0">
        <w:tc>
          <w:tcPr>
            <w:cnfStyle w:val="001000000000" w:firstRow="0" w:lastRow="0" w:firstColumn="1" w:lastColumn="0" w:oddVBand="0" w:evenVBand="0" w:oddHBand="0" w:evenHBand="0" w:firstRowFirstColumn="0" w:firstRowLastColumn="0" w:lastRowFirstColumn="0" w:lastRowLastColumn="0"/>
            <w:tcW w:w="1134" w:type="dxa"/>
          </w:tcPr>
          <w:p w14:paraId="53E2E120" w14:textId="0BE11E4F" w:rsidR="001F6251" w:rsidRDefault="001F6251" w:rsidP="001F6251">
            <w:pPr>
              <w:pStyle w:val="TableText"/>
            </w:pPr>
            <w:r>
              <w:t xml:space="preserve">Dec </w:t>
            </w:r>
            <w:r w:rsidR="00363078">
              <w:t>22</w:t>
            </w:r>
          </w:p>
        </w:tc>
        <w:tc>
          <w:tcPr>
            <w:tcW w:w="984" w:type="dxa"/>
          </w:tcPr>
          <w:p w14:paraId="41E35C05" w14:textId="77777777" w:rsidR="001F6251" w:rsidRDefault="001F6251" w:rsidP="001F6251">
            <w:pPr>
              <w:pStyle w:val="TableText"/>
              <w:jc w:val="right"/>
              <w:cnfStyle w:val="000000000000" w:firstRow="0" w:lastRow="0" w:firstColumn="0" w:lastColumn="0" w:oddVBand="0" w:evenVBand="0" w:oddHBand="0" w:evenHBand="0" w:firstRowFirstColumn="0" w:firstRowLastColumn="0" w:lastRowFirstColumn="0" w:lastRowLastColumn="0"/>
            </w:pPr>
          </w:p>
        </w:tc>
        <w:tc>
          <w:tcPr>
            <w:tcW w:w="0" w:type="dxa"/>
          </w:tcPr>
          <w:p w14:paraId="4A4E0C06" w14:textId="77777777" w:rsidR="001F6251" w:rsidRDefault="001F6251" w:rsidP="001F6251">
            <w:pPr>
              <w:pStyle w:val="TableText"/>
              <w:jc w:val="right"/>
              <w:cnfStyle w:val="000000000000" w:firstRow="0" w:lastRow="0" w:firstColumn="0" w:lastColumn="0" w:oddVBand="0" w:evenVBand="0" w:oddHBand="0" w:evenHBand="0" w:firstRowFirstColumn="0" w:firstRowLastColumn="0" w:lastRowFirstColumn="0" w:lastRowLastColumn="0"/>
            </w:pPr>
          </w:p>
        </w:tc>
        <w:tc>
          <w:tcPr>
            <w:tcW w:w="0" w:type="dxa"/>
          </w:tcPr>
          <w:p w14:paraId="2F3024B6" w14:textId="77777777" w:rsidR="001F6251" w:rsidRDefault="001F6251" w:rsidP="001F6251">
            <w:pPr>
              <w:pStyle w:val="TableText"/>
              <w:jc w:val="right"/>
              <w:cnfStyle w:val="000000000000" w:firstRow="0" w:lastRow="0" w:firstColumn="0" w:lastColumn="0" w:oddVBand="0" w:evenVBand="0" w:oddHBand="0" w:evenHBand="0" w:firstRowFirstColumn="0" w:firstRowLastColumn="0" w:lastRowFirstColumn="0" w:lastRowLastColumn="0"/>
            </w:pPr>
          </w:p>
        </w:tc>
        <w:tc>
          <w:tcPr>
            <w:tcW w:w="0" w:type="dxa"/>
          </w:tcPr>
          <w:p w14:paraId="64FD2E7C" w14:textId="77777777" w:rsidR="001F6251" w:rsidRDefault="001F6251" w:rsidP="001F6251">
            <w:pPr>
              <w:pStyle w:val="TableText"/>
              <w:jc w:val="right"/>
              <w:cnfStyle w:val="000000000000" w:firstRow="0" w:lastRow="0" w:firstColumn="0" w:lastColumn="0" w:oddVBand="0" w:evenVBand="0" w:oddHBand="0" w:evenHBand="0" w:firstRowFirstColumn="0" w:firstRowLastColumn="0" w:lastRowFirstColumn="0" w:lastRowLastColumn="0"/>
            </w:pPr>
          </w:p>
        </w:tc>
        <w:tc>
          <w:tcPr>
            <w:tcW w:w="0" w:type="dxa"/>
          </w:tcPr>
          <w:p w14:paraId="5FED391D" w14:textId="77777777" w:rsidR="001F6251" w:rsidRDefault="001F6251" w:rsidP="001F6251">
            <w:pPr>
              <w:pStyle w:val="TableText"/>
              <w:jc w:val="right"/>
              <w:cnfStyle w:val="000000000000" w:firstRow="0" w:lastRow="0" w:firstColumn="0" w:lastColumn="0" w:oddVBand="0" w:evenVBand="0" w:oddHBand="0" w:evenHBand="0" w:firstRowFirstColumn="0" w:firstRowLastColumn="0" w:lastRowFirstColumn="0" w:lastRowLastColumn="0"/>
            </w:pPr>
          </w:p>
        </w:tc>
        <w:tc>
          <w:tcPr>
            <w:tcW w:w="0" w:type="dxa"/>
          </w:tcPr>
          <w:p w14:paraId="2AB50738" w14:textId="77777777" w:rsidR="001F6251" w:rsidRDefault="001F6251" w:rsidP="001F6251">
            <w:pPr>
              <w:pStyle w:val="TableText"/>
              <w:cnfStyle w:val="000000000000" w:firstRow="0" w:lastRow="0" w:firstColumn="0" w:lastColumn="0" w:oddVBand="0" w:evenVBand="0" w:oddHBand="0" w:evenHBand="0" w:firstRowFirstColumn="0" w:firstRowLastColumn="0" w:lastRowFirstColumn="0" w:lastRowLastColumn="0"/>
            </w:pPr>
          </w:p>
        </w:tc>
        <w:tc>
          <w:tcPr>
            <w:tcW w:w="0" w:type="dxa"/>
          </w:tcPr>
          <w:p w14:paraId="7DE2C894" w14:textId="77777777" w:rsidR="001F6251" w:rsidRDefault="001F6251" w:rsidP="001F6251">
            <w:pPr>
              <w:pStyle w:val="TableText"/>
              <w:cnfStyle w:val="000000000000" w:firstRow="0" w:lastRow="0" w:firstColumn="0" w:lastColumn="0" w:oddVBand="0" w:evenVBand="0" w:oddHBand="0" w:evenHBand="0" w:firstRowFirstColumn="0" w:firstRowLastColumn="0" w:lastRowFirstColumn="0" w:lastRowLastColumn="0"/>
            </w:pPr>
          </w:p>
        </w:tc>
      </w:tr>
      <w:tr w:rsidR="001F6251" w14:paraId="4D6CAB0F" w14:textId="77777777" w:rsidTr="00622F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Pr>
          <w:p w14:paraId="03792EF9" w14:textId="0B4C5227" w:rsidR="001F6251" w:rsidRPr="001F6251" w:rsidRDefault="001F6251" w:rsidP="001F6251">
            <w:pPr>
              <w:pStyle w:val="TableText"/>
              <w:rPr>
                <w:b/>
                <w:bCs/>
              </w:rPr>
            </w:pPr>
            <w:r w:rsidRPr="001F6251">
              <w:rPr>
                <w:b/>
                <w:bCs/>
              </w:rPr>
              <w:t>Total</w:t>
            </w:r>
          </w:p>
        </w:tc>
        <w:tc>
          <w:tcPr>
            <w:tcW w:w="984" w:type="dxa"/>
          </w:tcPr>
          <w:p w14:paraId="5B0BB5BC" w14:textId="77777777" w:rsidR="001F6251" w:rsidRDefault="001F6251" w:rsidP="001F6251">
            <w:pPr>
              <w:pStyle w:val="TableText"/>
              <w:jc w:val="right"/>
              <w:cnfStyle w:val="000000100000" w:firstRow="0" w:lastRow="0" w:firstColumn="0" w:lastColumn="0" w:oddVBand="0" w:evenVBand="0" w:oddHBand="1" w:evenHBand="0" w:firstRowFirstColumn="0" w:firstRowLastColumn="0" w:lastRowFirstColumn="0" w:lastRowLastColumn="0"/>
            </w:pPr>
          </w:p>
        </w:tc>
        <w:tc>
          <w:tcPr>
            <w:tcW w:w="0" w:type="dxa"/>
          </w:tcPr>
          <w:p w14:paraId="6B47DEBC" w14:textId="77777777" w:rsidR="001F6251" w:rsidRDefault="001F6251" w:rsidP="001F6251">
            <w:pPr>
              <w:pStyle w:val="TableText"/>
              <w:jc w:val="right"/>
              <w:cnfStyle w:val="000000100000" w:firstRow="0" w:lastRow="0" w:firstColumn="0" w:lastColumn="0" w:oddVBand="0" w:evenVBand="0" w:oddHBand="1" w:evenHBand="0" w:firstRowFirstColumn="0" w:firstRowLastColumn="0" w:lastRowFirstColumn="0" w:lastRowLastColumn="0"/>
            </w:pPr>
          </w:p>
        </w:tc>
        <w:tc>
          <w:tcPr>
            <w:tcW w:w="0" w:type="dxa"/>
          </w:tcPr>
          <w:p w14:paraId="3F38D2A6" w14:textId="77777777" w:rsidR="001F6251" w:rsidRDefault="001F6251" w:rsidP="001F6251">
            <w:pPr>
              <w:pStyle w:val="TableText"/>
              <w:jc w:val="right"/>
              <w:cnfStyle w:val="000000100000" w:firstRow="0" w:lastRow="0" w:firstColumn="0" w:lastColumn="0" w:oddVBand="0" w:evenVBand="0" w:oddHBand="1" w:evenHBand="0" w:firstRowFirstColumn="0" w:firstRowLastColumn="0" w:lastRowFirstColumn="0" w:lastRowLastColumn="0"/>
            </w:pPr>
          </w:p>
        </w:tc>
        <w:tc>
          <w:tcPr>
            <w:tcW w:w="0" w:type="dxa"/>
          </w:tcPr>
          <w:p w14:paraId="01F609FE" w14:textId="77777777" w:rsidR="001F6251" w:rsidRDefault="001F6251" w:rsidP="001F6251">
            <w:pPr>
              <w:pStyle w:val="TableText"/>
              <w:jc w:val="right"/>
              <w:cnfStyle w:val="000000100000" w:firstRow="0" w:lastRow="0" w:firstColumn="0" w:lastColumn="0" w:oddVBand="0" w:evenVBand="0" w:oddHBand="1" w:evenHBand="0" w:firstRowFirstColumn="0" w:firstRowLastColumn="0" w:lastRowFirstColumn="0" w:lastRowLastColumn="0"/>
            </w:pPr>
          </w:p>
        </w:tc>
        <w:tc>
          <w:tcPr>
            <w:tcW w:w="0" w:type="dxa"/>
          </w:tcPr>
          <w:p w14:paraId="56EA0706" w14:textId="77777777" w:rsidR="001F6251" w:rsidRDefault="001F6251" w:rsidP="001F6251">
            <w:pPr>
              <w:pStyle w:val="TableText"/>
              <w:jc w:val="right"/>
              <w:cnfStyle w:val="000000100000" w:firstRow="0" w:lastRow="0" w:firstColumn="0" w:lastColumn="0" w:oddVBand="0" w:evenVBand="0" w:oddHBand="1" w:evenHBand="0" w:firstRowFirstColumn="0" w:firstRowLastColumn="0" w:lastRowFirstColumn="0" w:lastRowLastColumn="0"/>
            </w:pPr>
          </w:p>
        </w:tc>
        <w:tc>
          <w:tcPr>
            <w:tcW w:w="0" w:type="dxa"/>
          </w:tcPr>
          <w:p w14:paraId="6B1C6265" w14:textId="77777777" w:rsidR="001F6251" w:rsidRDefault="001F6251" w:rsidP="001F6251">
            <w:pPr>
              <w:pStyle w:val="TableText"/>
              <w:cnfStyle w:val="000000100000" w:firstRow="0" w:lastRow="0" w:firstColumn="0" w:lastColumn="0" w:oddVBand="0" w:evenVBand="0" w:oddHBand="1" w:evenHBand="0" w:firstRowFirstColumn="0" w:firstRowLastColumn="0" w:lastRowFirstColumn="0" w:lastRowLastColumn="0"/>
            </w:pPr>
          </w:p>
        </w:tc>
        <w:tc>
          <w:tcPr>
            <w:tcW w:w="0" w:type="dxa"/>
          </w:tcPr>
          <w:p w14:paraId="3AF7BF24" w14:textId="77777777" w:rsidR="001F6251" w:rsidRDefault="001F6251" w:rsidP="001F6251">
            <w:pPr>
              <w:pStyle w:val="TableText"/>
              <w:cnfStyle w:val="000000100000" w:firstRow="0" w:lastRow="0" w:firstColumn="0" w:lastColumn="0" w:oddVBand="0" w:evenVBand="0" w:oddHBand="1" w:evenHBand="0" w:firstRowFirstColumn="0" w:firstRowLastColumn="0" w:lastRowFirstColumn="0" w:lastRowLastColumn="0"/>
            </w:pPr>
          </w:p>
        </w:tc>
      </w:tr>
    </w:tbl>
    <w:p w14:paraId="4D067CE9" w14:textId="09F85B0B" w:rsidR="00596B01" w:rsidRPr="00B43268" w:rsidRDefault="00596B01" w:rsidP="0081733D">
      <w:pPr>
        <w:rPr>
          <w:lang w:val="en-AU"/>
        </w:rPr>
      </w:pPr>
    </w:p>
    <w:sectPr w:rsidR="00596B01" w:rsidRPr="00B43268" w:rsidSect="001F6251">
      <w:pgSz w:w="11900" w:h="16840"/>
      <w:pgMar w:top="1418" w:right="851" w:bottom="1814" w:left="851" w:header="709"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F7D003" w14:textId="77777777" w:rsidR="0019169F" w:rsidRDefault="0019169F" w:rsidP="0081733D">
      <w:r>
        <w:separator/>
      </w:r>
    </w:p>
  </w:endnote>
  <w:endnote w:type="continuationSeparator" w:id="0">
    <w:p w14:paraId="41EAAB8D" w14:textId="77777777" w:rsidR="0019169F" w:rsidRDefault="0019169F" w:rsidP="00817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Times New Roman (Headings C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Arial Bold">
    <w:altName w:val="Arial"/>
    <w:panose1 w:val="020B0704020202020204"/>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FAB6E" w14:textId="77777777" w:rsidR="00CC63FD" w:rsidRDefault="00224E16" w:rsidP="0081733D">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68A0558D" w14:textId="77777777" w:rsidR="00CC63FD" w:rsidRDefault="00CC63FD" w:rsidP="0081733D">
    <w:pPr>
      <w:pStyle w:val="Footer"/>
    </w:pPr>
  </w:p>
  <w:p w14:paraId="69FF0412" w14:textId="77777777" w:rsidR="009F06BC" w:rsidRDefault="009F06BC" w:rsidP="0081733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28763867"/>
      <w:docPartObj>
        <w:docPartGallery w:val="Page Numbers (Bottom of Page)"/>
        <w:docPartUnique/>
      </w:docPartObj>
    </w:sdtPr>
    <w:sdtContent>
      <w:p w14:paraId="3E38070D" w14:textId="77777777" w:rsidR="00AB208D" w:rsidRDefault="00AB208D" w:rsidP="00622FB0">
        <w:pPr>
          <w:pStyle w:val="Footer"/>
          <w:spacing w:after="100" w:line="240" w:lineRule="atLeast"/>
          <w:jc w:val="right"/>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06735445" w14:textId="1F139FE5" w:rsidR="00CC63FD" w:rsidRPr="004465C0" w:rsidRDefault="000F1F50" w:rsidP="00622FB0">
    <w:pPr>
      <w:pStyle w:val="Footer"/>
      <w:spacing w:after="100" w:line="240" w:lineRule="atLeast"/>
      <w:jc w:val="right"/>
      <w:rPr>
        <w:lang w:val="en-AU"/>
      </w:rPr>
    </w:pPr>
    <w:r>
      <w:rPr>
        <w:lang w:val="en-AU"/>
      </w:rPr>
      <w:t xml:space="preserve">Accounting and auditing venue requirements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87119810"/>
      <w:docPartObj>
        <w:docPartGallery w:val="Page Numbers (Bottom of Page)"/>
        <w:docPartUnique/>
      </w:docPartObj>
    </w:sdtPr>
    <w:sdtContent>
      <w:p w14:paraId="18A0D8C4" w14:textId="77777777" w:rsidR="000F1F50" w:rsidRDefault="000F1F50" w:rsidP="00A02481">
        <w:pPr>
          <w:pStyle w:val="Footer"/>
          <w:spacing w:after="60" w:line="240" w:lineRule="atLeast"/>
          <w:jc w:val="right"/>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29</w:t>
        </w:r>
        <w:r>
          <w:rPr>
            <w:rStyle w:val="PageNumber"/>
          </w:rPr>
          <w:fldChar w:fldCharType="end"/>
        </w:r>
      </w:p>
    </w:sdtContent>
  </w:sdt>
  <w:p w14:paraId="6BEFE9CA" w14:textId="75F9C596" w:rsidR="000F1F50" w:rsidRPr="000F1F50" w:rsidRDefault="000F1F50" w:rsidP="00622FB0">
    <w:pPr>
      <w:pStyle w:val="Footer"/>
      <w:spacing w:after="100" w:line="240" w:lineRule="atLeast"/>
      <w:jc w:val="right"/>
      <w:rPr>
        <w:lang w:val="en-AU"/>
      </w:rPr>
    </w:pPr>
    <w:r>
      <w:rPr>
        <w:lang w:val="en-AU"/>
      </w:rPr>
      <w:t xml:space="preserve">Accounting and auditing venue requirements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F3B1B2" w14:textId="77777777" w:rsidR="0019169F" w:rsidRDefault="0019169F" w:rsidP="0081733D">
      <w:r>
        <w:separator/>
      </w:r>
    </w:p>
  </w:footnote>
  <w:footnote w:type="continuationSeparator" w:id="0">
    <w:p w14:paraId="2E54C534" w14:textId="77777777" w:rsidR="0019169F" w:rsidRDefault="0019169F" w:rsidP="0081733D">
      <w:r>
        <w:continuationSeparator/>
      </w:r>
    </w:p>
  </w:footnote>
  <w:footnote w:id="1">
    <w:p w14:paraId="3A56DE2D" w14:textId="3E3EF760" w:rsidR="00B133C9" w:rsidRPr="00B133C9" w:rsidRDefault="00B133C9" w:rsidP="00B133C9">
      <w:pPr>
        <w:pStyle w:val="Footer"/>
        <w:rPr>
          <w:lang w:val="en-AU"/>
        </w:rPr>
      </w:pPr>
      <w:r>
        <w:rPr>
          <w:rStyle w:val="FootnoteReference"/>
        </w:rPr>
        <w:footnoteRef/>
      </w:r>
      <w:r>
        <w:t xml:space="preserve"> </w:t>
      </w:r>
      <w:r w:rsidRPr="00B133C9">
        <w:t>Large/significant wins are defined in the Victorian Appendix to the Australian/New Zealand Gaming Machine National Standard 2016. At the time of publication of this standard, it was $10,000.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5921B" w14:textId="00C5278D" w:rsidR="009F06BC" w:rsidRDefault="00C728CE" w:rsidP="00941D68">
    <w:pPr>
      <w:pStyle w:val="Header"/>
    </w:pPr>
    <w:r>
      <w:rPr>
        <w:noProof/>
      </w:rPr>
      <w:drawing>
        <wp:anchor distT="0" distB="0" distL="114300" distR="114300" simplePos="0" relativeHeight="251662336" behindDoc="1" locked="0" layoutInCell="1" allowOverlap="0" wp14:anchorId="2CBE4583" wp14:editId="6B80B04A">
          <wp:simplePos x="0" y="0"/>
          <wp:positionH relativeFrom="column">
            <wp:posOffset>-540385</wp:posOffset>
          </wp:positionH>
          <wp:positionV relativeFrom="page">
            <wp:posOffset>9728</wp:posOffset>
          </wp:positionV>
          <wp:extent cx="7560000" cy="864000"/>
          <wp:effectExtent l="0" t="0" r="0" b="0"/>
          <wp:wrapTopAndBottom/>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0000" cy="8640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F69BF" w14:textId="77777777" w:rsidR="00BC36F0" w:rsidRDefault="00215427" w:rsidP="0081733D">
    <w:pPr>
      <w:pStyle w:val="Header"/>
    </w:pPr>
    <w:r>
      <w:rPr>
        <w:noProof/>
      </w:rPr>
      <w:drawing>
        <wp:anchor distT="0" distB="0" distL="114300" distR="114300" simplePos="0" relativeHeight="251659264" behindDoc="1" locked="0" layoutInCell="1" allowOverlap="1" wp14:anchorId="59007D7E" wp14:editId="6F4C5C73">
          <wp:simplePos x="0" y="0"/>
          <wp:positionH relativeFrom="column">
            <wp:posOffset>-540385</wp:posOffset>
          </wp:positionH>
          <wp:positionV relativeFrom="page">
            <wp:posOffset>0</wp:posOffset>
          </wp:positionV>
          <wp:extent cx="7560000" cy="10698352"/>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8352"/>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72D8D" w14:textId="2FC29F03" w:rsidR="00481903" w:rsidRDefault="00481903" w:rsidP="00823F21">
    <w:pPr>
      <w:pStyle w:val="Header"/>
    </w:pPr>
    <w:r>
      <w:rPr>
        <w:noProof/>
      </w:rPr>
      <w:drawing>
        <wp:anchor distT="0" distB="0" distL="114300" distR="114300" simplePos="0" relativeHeight="251668480" behindDoc="0" locked="0" layoutInCell="1" allowOverlap="0" wp14:anchorId="3A47DEF9" wp14:editId="4185F39A">
          <wp:simplePos x="0" y="0"/>
          <wp:positionH relativeFrom="page">
            <wp:posOffset>-9525</wp:posOffset>
          </wp:positionH>
          <wp:positionV relativeFrom="page">
            <wp:posOffset>0</wp:posOffset>
          </wp:positionV>
          <wp:extent cx="10692000" cy="404323"/>
          <wp:effectExtent l="0" t="0" r="0" b="0"/>
          <wp:wrapNone/>
          <wp:docPr id="18" name="Picture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b="66912"/>
                  <a:stretch/>
                </pic:blipFill>
                <pic:spPr bwMode="auto">
                  <a:xfrm>
                    <a:off x="0" y="0"/>
                    <a:ext cx="10692000" cy="40432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6FAFB" w14:textId="633C1FB9" w:rsidR="001F6251" w:rsidRDefault="001F6251" w:rsidP="00823F21">
    <w:pPr>
      <w:pStyle w:val="Header"/>
      <w:spacing w:after="0" w:line="240" w:lineRule="auto"/>
    </w:pPr>
    <w:r>
      <w:rPr>
        <w:noProof/>
      </w:rPr>
      <w:drawing>
        <wp:anchor distT="0" distB="0" distL="114300" distR="114300" simplePos="0" relativeHeight="251664384" behindDoc="0" locked="0" layoutInCell="1" allowOverlap="0" wp14:anchorId="1499E0FD" wp14:editId="4ADF304A">
          <wp:simplePos x="0" y="0"/>
          <wp:positionH relativeFrom="page">
            <wp:align>left</wp:align>
          </wp:positionH>
          <wp:positionV relativeFrom="page">
            <wp:align>top</wp:align>
          </wp:positionV>
          <wp:extent cx="10692000" cy="404323"/>
          <wp:effectExtent l="0" t="0" r="0" b="0"/>
          <wp:wrapNone/>
          <wp:docPr id="20" name="Picture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b="66912"/>
                  <a:stretch/>
                </pic:blipFill>
                <pic:spPr bwMode="auto">
                  <a:xfrm>
                    <a:off x="0" y="0"/>
                    <a:ext cx="10692000" cy="40432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C6A79"/>
    <w:multiLevelType w:val="multilevel"/>
    <w:tmpl w:val="0809001D"/>
    <w:styleLink w:val="CurrentList1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D005AC1"/>
    <w:multiLevelType w:val="hybridMultilevel"/>
    <w:tmpl w:val="9F2CD8A6"/>
    <w:lvl w:ilvl="0" w:tplc="65504612">
      <w:start w:val="1"/>
      <w:numFmt w:val="lowerLetter"/>
      <w:pStyle w:val="List-alphabetL2"/>
      <w:lvlText w:val="%1)"/>
      <w:lvlJc w:val="left"/>
      <w:pPr>
        <w:ind w:left="567" w:hanging="283"/>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 w15:restartNumberingAfterBreak="0">
    <w:nsid w:val="11DB3F1B"/>
    <w:multiLevelType w:val="multilevel"/>
    <w:tmpl w:val="25F8FE80"/>
    <w:styleLink w:val="CurrentList3"/>
    <w:lvl w:ilvl="0">
      <w:start w:val="1"/>
      <w:numFmt w:val="bullet"/>
      <w:lvlText w:val="-"/>
      <w:lvlJc w:val="left"/>
      <w:pPr>
        <w:ind w:left="567" w:hanging="340"/>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4140A5F"/>
    <w:multiLevelType w:val="multilevel"/>
    <w:tmpl w:val="0809001D"/>
    <w:styleLink w:val="CurrentList1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67E037A"/>
    <w:multiLevelType w:val="multilevel"/>
    <w:tmpl w:val="B01E02C6"/>
    <w:styleLink w:val="CurrentList1"/>
    <w:lvl w:ilvl="0">
      <w:start w:val="1"/>
      <w:numFmt w:val="bullet"/>
      <w:lvlText w:val="o"/>
      <w:lvlJc w:val="left"/>
      <w:pPr>
        <w:ind w:left="644"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B500431"/>
    <w:multiLevelType w:val="multilevel"/>
    <w:tmpl w:val="0809001D"/>
    <w:styleLink w:val="CurrentList1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15B5C1C"/>
    <w:multiLevelType w:val="multilevel"/>
    <w:tmpl w:val="06B00C86"/>
    <w:styleLink w:val="CurrentList2"/>
    <w:lvl w:ilvl="0">
      <w:start w:val="1"/>
      <w:numFmt w:val="bullet"/>
      <w:lvlText w:val="-"/>
      <w:lvlJc w:val="left"/>
      <w:pPr>
        <w:ind w:left="644" w:hanging="360"/>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5CD69AB"/>
    <w:multiLevelType w:val="multilevel"/>
    <w:tmpl w:val="0DC8F88A"/>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8" w15:restartNumberingAfterBreak="0">
    <w:nsid w:val="26CD44A0"/>
    <w:multiLevelType w:val="multilevel"/>
    <w:tmpl w:val="04D0E5A0"/>
    <w:lvl w:ilvl="0">
      <w:start w:val="1"/>
      <w:numFmt w:val="decimal"/>
      <w:lvlText w:val="%1"/>
      <w:lvlJc w:val="left"/>
      <w:pPr>
        <w:ind w:left="397" w:hanging="397"/>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15:restartNumberingAfterBreak="0">
    <w:nsid w:val="29415147"/>
    <w:multiLevelType w:val="multilevel"/>
    <w:tmpl w:val="04D0E5A0"/>
    <w:styleLink w:val="CurrentList9"/>
    <w:lvl w:ilvl="0">
      <w:start w:val="1"/>
      <w:numFmt w:val="decimal"/>
      <w:lvlText w:val="%1"/>
      <w:lvlJc w:val="left"/>
      <w:pPr>
        <w:ind w:left="397" w:hanging="397"/>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2A2C210A"/>
    <w:multiLevelType w:val="multilevel"/>
    <w:tmpl w:val="B918508C"/>
    <w:lvl w:ilvl="0">
      <w:start w:val="1"/>
      <w:numFmt w:val="decimal"/>
      <w:lvlText w:val="%1"/>
      <w:lvlJc w:val="left"/>
      <w:pPr>
        <w:ind w:left="397" w:hanging="397"/>
      </w:pPr>
      <w:rPr>
        <w:rFonts w:hint="default"/>
      </w:rPr>
    </w:lvl>
    <w:lvl w:ilvl="1">
      <w:start w:val="1"/>
      <w:numFmt w:val="decimal"/>
      <w:pStyle w:val="Heading2"/>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FF16DF6"/>
    <w:multiLevelType w:val="multilevel"/>
    <w:tmpl w:val="109C6D9E"/>
    <w:styleLink w:val="CurrentList12"/>
    <w:lvl w:ilvl="0">
      <w:start w:val="1"/>
      <w:numFmt w:val="decimal"/>
      <w:lvlText w:val="%1"/>
      <w:lvlJc w:val="left"/>
      <w:pPr>
        <w:ind w:left="851" w:hanging="851"/>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56B7CD3"/>
    <w:multiLevelType w:val="hybridMultilevel"/>
    <w:tmpl w:val="4DA41740"/>
    <w:lvl w:ilvl="0" w:tplc="19A2B9CC">
      <w:start w:val="1"/>
      <w:numFmt w:val="bullet"/>
      <w:pStyle w:val="Bullet2"/>
      <w:lvlText w:val="-"/>
      <w:lvlJc w:val="left"/>
      <w:pPr>
        <w:ind w:left="454" w:hanging="227"/>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4104BBE"/>
    <w:multiLevelType w:val="multilevel"/>
    <w:tmpl w:val="2EEA200A"/>
    <w:styleLink w:val="CurrentList4"/>
    <w:lvl w:ilvl="0">
      <w:start w:val="1"/>
      <w:numFmt w:val="bullet"/>
      <w:lvlText w:val="-"/>
      <w:lvlJc w:val="left"/>
      <w:pPr>
        <w:ind w:left="567" w:hanging="397"/>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4BD90420"/>
    <w:multiLevelType w:val="multilevel"/>
    <w:tmpl w:val="E8B870EC"/>
    <w:styleLink w:val="CurrentList11"/>
    <w:lvl w:ilvl="0">
      <w:start w:val="1"/>
      <w:numFmt w:val="decimal"/>
      <w:lvlText w:val="%1"/>
      <w:lvlJc w:val="left"/>
      <w:pPr>
        <w:ind w:left="567" w:hanging="567"/>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15:restartNumberingAfterBreak="0">
    <w:nsid w:val="4CE23C62"/>
    <w:multiLevelType w:val="multilevel"/>
    <w:tmpl w:val="BDCE3312"/>
    <w:styleLink w:val="CurrentList8"/>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8" w15:restartNumberingAfterBreak="0">
    <w:nsid w:val="50132413"/>
    <w:multiLevelType w:val="multilevel"/>
    <w:tmpl w:val="D45C4E8A"/>
    <w:styleLink w:val="CurrentList13"/>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15:restartNumberingAfterBreak="0">
    <w:nsid w:val="50D9644D"/>
    <w:multiLevelType w:val="hybridMultilevel"/>
    <w:tmpl w:val="16368E38"/>
    <w:lvl w:ilvl="0" w:tplc="1902BB6E">
      <w:start w:val="1"/>
      <w:numFmt w:val="lowerRoman"/>
      <w:pStyle w:val="List-romannumberL3"/>
      <w:lvlText w:val="%1."/>
      <w:lvlJc w:val="left"/>
      <w:pPr>
        <w:ind w:left="907" w:hanging="3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B6867A2"/>
    <w:multiLevelType w:val="multilevel"/>
    <w:tmpl w:val="79B21358"/>
    <w:styleLink w:val="CurrentList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DD33381"/>
    <w:multiLevelType w:val="hybridMultilevel"/>
    <w:tmpl w:val="4878A3AC"/>
    <w:lvl w:ilvl="0" w:tplc="794A8534">
      <w:start w:val="1"/>
      <w:numFmt w:val="bullet"/>
      <w:pStyle w:val="BodyText-Bulletlist2"/>
      <w:lvlText w:val="o"/>
      <w:lvlJc w:val="left"/>
      <w:pPr>
        <w:ind w:left="1117" w:hanging="360"/>
      </w:pPr>
      <w:rPr>
        <w:rFonts w:ascii="Courier New" w:hAnsi="Courier New" w:cs="Courier New" w:hint="default"/>
      </w:rPr>
    </w:lvl>
    <w:lvl w:ilvl="1" w:tplc="08090003" w:tentative="1">
      <w:start w:val="1"/>
      <w:numFmt w:val="bullet"/>
      <w:lvlText w:val="o"/>
      <w:lvlJc w:val="left"/>
      <w:pPr>
        <w:ind w:left="1837" w:hanging="360"/>
      </w:pPr>
      <w:rPr>
        <w:rFonts w:ascii="Courier New" w:hAnsi="Courier New" w:cs="Courier New" w:hint="default"/>
      </w:rPr>
    </w:lvl>
    <w:lvl w:ilvl="2" w:tplc="08090005" w:tentative="1">
      <w:start w:val="1"/>
      <w:numFmt w:val="bullet"/>
      <w:lvlText w:val=""/>
      <w:lvlJc w:val="left"/>
      <w:pPr>
        <w:ind w:left="2557" w:hanging="360"/>
      </w:pPr>
      <w:rPr>
        <w:rFonts w:ascii="Wingdings" w:hAnsi="Wingdings" w:hint="default"/>
      </w:rPr>
    </w:lvl>
    <w:lvl w:ilvl="3" w:tplc="08090001" w:tentative="1">
      <w:start w:val="1"/>
      <w:numFmt w:val="bullet"/>
      <w:lvlText w:val=""/>
      <w:lvlJc w:val="left"/>
      <w:pPr>
        <w:ind w:left="3277" w:hanging="360"/>
      </w:pPr>
      <w:rPr>
        <w:rFonts w:ascii="Symbol" w:hAnsi="Symbol" w:hint="default"/>
      </w:rPr>
    </w:lvl>
    <w:lvl w:ilvl="4" w:tplc="08090003" w:tentative="1">
      <w:start w:val="1"/>
      <w:numFmt w:val="bullet"/>
      <w:lvlText w:val="o"/>
      <w:lvlJc w:val="left"/>
      <w:pPr>
        <w:ind w:left="3997" w:hanging="360"/>
      </w:pPr>
      <w:rPr>
        <w:rFonts w:ascii="Courier New" w:hAnsi="Courier New" w:cs="Courier New" w:hint="default"/>
      </w:rPr>
    </w:lvl>
    <w:lvl w:ilvl="5" w:tplc="08090005" w:tentative="1">
      <w:start w:val="1"/>
      <w:numFmt w:val="bullet"/>
      <w:lvlText w:val=""/>
      <w:lvlJc w:val="left"/>
      <w:pPr>
        <w:ind w:left="4717" w:hanging="360"/>
      </w:pPr>
      <w:rPr>
        <w:rFonts w:ascii="Wingdings" w:hAnsi="Wingdings" w:hint="default"/>
      </w:rPr>
    </w:lvl>
    <w:lvl w:ilvl="6" w:tplc="08090001" w:tentative="1">
      <w:start w:val="1"/>
      <w:numFmt w:val="bullet"/>
      <w:lvlText w:val=""/>
      <w:lvlJc w:val="left"/>
      <w:pPr>
        <w:ind w:left="5437" w:hanging="360"/>
      </w:pPr>
      <w:rPr>
        <w:rFonts w:ascii="Symbol" w:hAnsi="Symbol" w:hint="default"/>
      </w:rPr>
    </w:lvl>
    <w:lvl w:ilvl="7" w:tplc="08090003" w:tentative="1">
      <w:start w:val="1"/>
      <w:numFmt w:val="bullet"/>
      <w:lvlText w:val="o"/>
      <w:lvlJc w:val="left"/>
      <w:pPr>
        <w:ind w:left="6157" w:hanging="360"/>
      </w:pPr>
      <w:rPr>
        <w:rFonts w:ascii="Courier New" w:hAnsi="Courier New" w:cs="Courier New" w:hint="default"/>
      </w:rPr>
    </w:lvl>
    <w:lvl w:ilvl="8" w:tplc="08090005" w:tentative="1">
      <w:start w:val="1"/>
      <w:numFmt w:val="bullet"/>
      <w:lvlText w:val=""/>
      <w:lvlJc w:val="left"/>
      <w:pPr>
        <w:ind w:left="6877" w:hanging="360"/>
      </w:pPr>
      <w:rPr>
        <w:rFonts w:ascii="Wingdings" w:hAnsi="Wingdings" w:hint="default"/>
      </w:rPr>
    </w:lvl>
  </w:abstractNum>
  <w:abstractNum w:abstractNumId="22" w15:restartNumberingAfterBreak="0">
    <w:nsid w:val="5F36615C"/>
    <w:multiLevelType w:val="multilevel"/>
    <w:tmpl w:val="A62C52BA"/>
    <w:styleLink w:val="CurrentList7"/>
    <w:lvl w:ilvl="0">
      <w:start w:val="1"/>
      <w:numFmt w:val="decimal"/>
      <w:lvlText w:val="%1."/>
      <w:lvlJc w:val="left"/>
      <w:pPr>
        <w:ind w:left="284"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2D66A56"/>
    <w:multiLevelType w:val="multilevel"/>
    <w:tmpl w:val="04D0E5A0"/>
    <w:numStyleLink w:val="CurrentList10"/>
  </w:abstractNum>
  <w:abstractNum w:abstractNumId="24"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5147863"/>
    <w:multiLevelType w:val="multilevel"/>
    <w:tmpl w:val="EFF07D30"/>
    <w:lvl w:ilvl="0">
      <w:start w:val="1"/>
      <w:numFmt w:val="decimal"/>
      <w:pStyle w:val="Heading1"/>
      <w:lvlText w:val="%1."/>
      <w:lvlJc w:val="left"/>
      <w:pPr>
        <w:ind w:left="720" w:hanging="72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 w15:restartNumberingAfterBreak="0">
    <w:nsid w:val="67D63D6C"/>
    <w:multiLevelType w:val="multilevel"/>
    <w:tmpl w:val="04D0E5A0"/>
    <w:styleLink w:val="CurrentList10"/>
    <w:lvl w:ilvl="0">
      <w:start w:val="1"/>
      <w:numFmt w:val="decimal"/>
      <w:lvlText w:val="%1"/>
      <w:lvlJc w:val="left"/>
      <w:pPr>
        <w:ind w:left="397" w:hanging="397"/>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7" w15:restartNumberingAfterBreak="0">
    <w:nsid w:val="67D93869"/>
    <w:multiLevelType w:val="multilevel"/>
    <w:tmpl w:val="E62A686C"/>
    <w:styleLink w:val="CurrentList5"/>
    <w:lvl w:ilvl="0">
      <w:start w:val="1"/>
      <w:numFmt w:val="bullet"/>
      <w:lvlText w:val="-"/>
      <w:lvlJc w:val="left"/>
      <w:pPr>
        <w:ind w:left="454" w:hanging="170"/>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6BF97656"/>
    <w:multiLevelType w:val="hybridMultilevel"/>
    <w:tmpl w:val="49C8F17C"/>
    <w:lvl w:ilvl="0" w:tplc="41862312">
      <w:start w:val="1"/>
      <w:numFmt w:val="upperLetter"/>
      <w:pStyle w:val="Level0-Recitals"/>
      <w:lvlText w:val="%1"/>
      <w:lvlJc w:val="left"/>
      <w:pPr>
        <w:tabs>
          <w:tab w:val="num" w:pos="709"/>
        </w:tabs>
        <w:ind w:left="709" w:hanging="709"/>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9" w15:restartNumberingAfterBreak="0">
    <w:nsid w:val="6EB27A7F"/>
    <w:multiLevelType w:val="hybridMultilevel"/>
    <w:tmpl w:val="A62C52BA"/>
    <w:lvl w:ilvl="0" w:tplc="8C066518">
      <w:start w:val="1"/>
      <w:numFmt w:val="decimal"/>
      <w:pStyle w:val="List-numberL1"/>
      <w:lvlText w:val="%1."/>
      <w:lvlJc w:val="left"/>
      <w:pPr>
        <w:ind w:left="284" w:hanging="28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7595708"/>
    <w:multiLevelType w:val="multilevel"/>
    <w:tmpl w:val="0809001D"/>
    <w:styleLink w:val="CurrentList1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79E8088D"/>
    <w:multiLevelType w:val="multilevel"/>
    <w:tmpl w:val="0809001D"/>
    <w:styleLink w:val="CurrentList1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7E234DD8"/>
    <w:multiLevelType w:val="multilevel"/>
    <w:tmpl w:val="8CB46004"/>
    <w:styleLink w:val="111111"/>
    <w:lvl w:ilvl="0">
      <w:start w:val="1"/>
      <w:numFmt w:val="decimal"/>
      <w:lvlText w:val="%1."/>
      <w:lvlJc w:val="left"/>
      <w:pPr>
        <w:tabs>
          <w:tab w:val="num" w:pos="360"/>
        </w:tabs>
        <w:ind w:left="360" w:hanging="360"/>
      </w:pPr>
      <w:rPr>
        <w:rFonts w:ascii="Arial" w:hAnsi="Arial" w:cs="Arial" w:hint="default"/>
      </w:rPr>
    </w:lvl>
    <w:lvl w:ilvl="1">
      <w:start w:val="1"/>
      <w:numFmt w:val="decimal"/>
      <w:lvlText w:val="%1.%2."/>
      <w:lvlJc w:val="left"/>
      <w:pPr>
        <w:tabs>
          <w:tab w:val="num" w:pos="1080"/>
        </w:tabs>
        <w:ind w:left="792" w:hanging="432"/>
      </w:pPr>
      <w:rPr>
        <w:rFonts w:ascii="Verdana" w:hAnsi="Verdana" w:hint="default"/>
      </w:rPr>
    </w:lvl>
    <w:lvl w:ilvl="2">
      <w:start w:val="1"/>
      <w:numFmt w:val="decimal"/>
      <w:lvlText w:val="%1.%2.%3."/>
      <w:lvlJc w:val="left"/>
      <w:pPr>
        <w:tabs>
          <w:tab w:val="num" w:pos="1440"/>
        </w:tabs>
        <w:ind w:left="1224" w:hanging="504"/>
      </w:pPr>
      <w:rPr>
        <w:rFonts w:ascii="Verdana" w:hAnsi="Verdana" w:hint="default"/>
      </w:rPr>
    </w:lvl>
    <w:lvl w:ilvl="3">
      <w:start w:val="1"/>
      <w:numFmt w:val="decimal"/>
      <w:lvlText w:val="%1.%2.%3.%4."/>
      <w:lvlJc w:val="left"/>
      <w:pPr>
        <w:tabs>
          <w:tab w:val="num" w:pos="2160"/>
        </w:tabs>
        <w:ind w:left="1728" w:hanging="648"/>
      </w:pPr>
      <w:rPr>
        <w:rFonts w:ascii="Verdana" w:hAnsi="Verdana" w:hint="default"/>
      </w:rPr>
    </w:lvl>
    <w:lvl w:ilvl="4">
      <w:start w:val="1"/>
      <w:numFmt w:val="decimal"/>
      <w:lvlText w:val="%1.%2.%3.%4.%5."/>
      <w:lvlJc w:val="left"/>
      <w:pPr>
        <w:tabs>
          <w:tab w:val="num" w:pos="2880"/>
        </w:tabs>
        <w:ind w:left="2232" w:hanging="792"/>
      </w:pPr>
      <w:rPr>
        <w:rFonts w:ascii="Verdana" w:hAnsi="Verdana" w:hint="default"/>
      </w:rPr>
    </w:lvl>
    <w:lvl w:ilvl="5">
      <w:start w:val="1"/>
      <w:numFmt w:val="decimal"/>
      <w:lvlText w:val="%1.%2.%3.%4.%5.%6."/>
      <w:lvlJc w:val="left"/>
      <w:pPr>
        <w:tabs>
          <w:tab w:val="num" w:pos="3240"/>
        </w:tabs>
        <w:ind w:left="2736" w:hanging="936"/>
      </w:pPr>
      <w:rPr>
        <w:rFonts w:ascii="Verdana" w:hAnsi="Verdana" w:hint="default"/>
      </w:rPr>
    </w:lvl>
    <w:lvl w:ilvl="6">
      <w:start w:val="1"/>
      <w:numFmt w:val="decimal"/>
      <w:lvlText w:val="%1.%2.%3.%4.%5.%6.%7."/>
      <w:lvlJc w:val="left"/>
      <w:pPr>
        <w:tabs>
          <w:tab w:val="num" w:pos="3960"/>
        </w:tabs>
        <w:ind w:left="3240" w:hanging="1080"/>
      </w:pPr>
      <w:rPr>
        <w:rFonts w:ascii="Verdana" w:hAnsi="Verdana" w:hint="default"/>
      </w:rPr>
    </w:lvl>
    <w:lvl w:ilvl="7">
      <w:start w:val="1"/>
      <w:numFmt w:val="decimal"/>
      <w:lvlText w:val="%1.%2.%3.%4.%5.%6.%7.%8."/>
      <w:lvlJc w:val="left"/>
      <w:pPr>
        <w:tabs>
          <w:tab w:val="num" w:pos="4680"/>
        </w:tabs>
        <w:ind w:left="3744" w:hanging="1224"/>
      </w:pPr>
      <w:rPr>
        <w:rFonts w:ascii="Verdana" w:hAnsi="Verdana" w:hint="default"/>
      </w:rPr>
    </w:lvl>
    <w:lvl w:ilvl="8">
      <w:start w:val="1"/>
      <w:numFmt w:val="decimal"/>
      <w:lvlText w:val="%1.%2.%3.%4.%5.%6.%7.%8.%9."/>
      <w:lvlJc w:val="left"/>
      <w:pPr>
        <w:tabs>
          <w:tab w:val="num" w:pos="5040"/>
        </w:tabs>
        <w:ind w:left="4320" w:hanging="1440"/>
      </w:pPr>
      <w:rPr>
        <w:rFonts w:ascii="Verdana" w:hAnsi="Verdana" w:hint="default"/>
      </w:rPr>
    </w:lvl>
  </w:abstractNum>
  <w:num w:numId="1" w16cid:durableId="2012641023">
    <w:abstractNumId w:val="14"/>
  </w:num>
  <w:num w:numId="2" w16cid:durableId="1830516323">
    <w:abstractNumId w:val="24"/>
  </w:num>
  <w:num w:numId="3" w16cid:durableId="1796755197">
    <w:abstractNumId w:val="11"/>
  </w:num>
  <w:num w:numId="4" w16cid:durableId="222371527">
    <w:abstractNumId w:val="13"/>
  </w:num>
  <w:num w:numId="5" w16cid:durableId="516384319">
    <w:abstractNumId w:val="4"/>
  </w:num>
  <w:num w:numId="6" w16cid:durableId="40056848">
    <w:abstractNumId w:val="6"/>
  </w:num>
  <w:num w:numId="7" w16cid:durableId="670454397">
    <w:abstractNumId w:val="2"/>
  </w:num>
  <w:num w:numId="8" w16cid:durableId="138038705">
    <w:abstractNumId w:val="15"/>
  </w:num>
  <w:num w:numId="9" w16cid:durableId="170797093">
    <w:abstractNumId w:val="27"/>
  </w:num>
  <w:num w:numId="10" w16cid:durableId="2000040381">
    <w:abstractNumId w:val="19"/>
  </w:num>
  <w:num w:numId="11" w16cid:durableId="303851802">
    <w:abstractNumId w:val="29"/>
  </w:num>
  <w:num w:numId="12" w16cid:durableId="261449691">
    <w:abstractNumId w:val="20"/>
  </w:num>
  <w:num w:numId="13" w16cid:durableId="1090127107">
    <w:abstractNumId w:val="22"/>
  </w:num>
  <w:num w:numId="14" w16cid:durableId="1900896299">
    <w:abstractNumId w:val="1"/>
  </w:num>
  <w:num w:numId="15" w16cid:durableId="2121139069">
    <w:abstractNumId w:val="17"/>
  </w:num>
  <w:num w:numId="16" w16cid:durableId="931428424">
    <w:abstractNumId w:val="7"/>
  </w:num>
  <w:num w:numId="17" w16cid:durableId="1172910291">
    <w:abstractNumId w:val="9"/>
  </w:num>
  <w:num w:numId="18" w16cid:durableId="581766986">
    <w:abstractNumId w:val="26"/>
  </w:num>
  <w:num w:numId="19" w16cid:durableId="1674649793">
    <w:abstractNumId w:val="16"/>
  </w:num>
  <w:num w:numId="20" w16cid:durableId="1861966702">
    <w:abstractNumId w:val="12"/>
  </w:num>
  <w:num w:numId="21" w16cid:durableId="1760176327">
    <w:abstractNumId w:val="18"/>
  </w:num>
  <w:num w:numId="22" w16cid:durableId="239562672">
    <w:abstractNumId w:val="32"/>
  </w:num>
  <w:num w:numId="23" w16cid:durableId="260378892">
    <w:abstractNumId w:val="0"/>
  </w:num>
  <w:num w:numId="24" w16cid:durableId="711228603">
    <w:abstractNumId w:val="5"/>
  </w:num>
  <w:num w:numId="25" w16cid:durableId="685013686">
    <w:abstractNumId w:val="30"/>
  </w:num>
  <w:num w:numId="26" w16cid:durableId="1006250063">
    <w:abstractNumId w:val="3"/>
  </w:num>
  <w:num w:numId="27" w16cid:durableId="1090273504">
    <w:abstractNumId w:val="31"/>
  </w:num>
  <w:num w:numId="28" w16cid:durableId="246037020">
    <w:abstractNumId w:val="28"/>
  </w:num>
  <w:num w:numId="29" w16cid:durableId="645285265">
    <w:abstractNumId w:val="21"/>
  </w:num>
  <w:num w:numId="30" w16cid:durableId="709838022">
    <w:abstractNumId w:val="25"/>
  </w:num>
  <w:num w:numId="31" w16cid:durableId="356392920">
    <w:abstractNumId w:val="23"/>
  </w:num>
  <w:num w:numId="32" w16cid:durableId="1561475285">
    <w:abstractNumId w:val="10"/>
  </w:num>
  <w:num w:numId="33" w16cid:durableId="534195956">
    <w:abstractNumId w:val="8"/>
  </w:num>
  <w:num w:numId="34" w16cid:durableId="1792359944">
    <w:abstractNumId w:val="10"/>
  </w:num>
  <w:num w:numId="35" w16cid:durableId="821119429">
    <w:abstractNumId w:val="10"/>
  </w:num>
  <w:num w:numId="36" w16cid:durableId="2065635728">
    <w:abstractNumId w:val="10"/>
  </w:num>
  <w:num w:numId="37" w16cid:durableId="10577077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074359652">
    <w:abstractNumId w:val="10"/>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czsLQ0szQ3MzY3MDFV0lEKTi0uzszPAykwqgUAvbgqciwAAAA="/>
  </w:docVars>
  <w:rsids>
    <w:rsidRoot w:val="0081733D"/>
    <w:rsid w:val="00034A7E"/>
    <w:rsid w:val="00056B9F"/>
    <w:rsid w:val="00071BAC"/>
    <w:rsid w:val="00075E05"/>
    <w:rsid w:val="000B0B97"/>
    <w:rsid w:val="000C322B"/>
    <w:rsid w:val="000D1240"/>
    <w:rsid w:val="000E18C4"/>
    <w:rsid w:val="000F1F50"/>
    <w:rsid w:val="000F4297"/>
    <w:rsid w:val="000F76B4"/>
    <w:rsid w:val="000F792F"/>
    <w:rsid w:val="001149A5"/>
    <w:rsid w:val="001358C9"/>
    <w:rsid w:val="00152E1E"/>
    <w:rsid w:val="0019169F"/>
    <w:rsid w:val="00194752"/>
    <w:rsid w:val="001A6385"/>
    <w:rsid w:val="001C760C"/>
    <w:rsid w:val="001D1839"/>
    <w:rsid w:val="001E3173"/>
    <w:rsid w:val="001F6251"/>
    <w:rsid w:val="001F6363"/>
    <w:rsid w:val="00201392"/>
    <w:rsid w:val="00204ADC"/>
    <w:rsid w:val="00215427"/>
    <w:rsid w:val="0021786D"/>
    <w:rsid w:val="0022203A"/>
    <w:rsid w:val="00224E16"/>
    <w:rsid w:val="002453AF"/>
    <w:rsid w:val="002A10FF"/>
    <w:rsid w:val="002A4E0D"/>
    <w:rsid w:val="002A54DF"/>
    <w:rsid w:val="002B0C2F"/>
    <w:rsid w:val="002C18F9"/>
    <w:rsid w:val="002D7AB7"/>
    <w:rsid w:val="002E38DE"/>
    <w:rsid w:val="002E5F73"/>
    <w:rsid w:val="0030597C"/>
    <w:rsid w:val="003235FD"/>
    <w:rsid w:val="00354F17"/>
    <w:rsid w:val="00362BDA"/>
    <w:rsid w:val="00363078"/>
    <w:rsid w:val="00390D58"/>
    <w:rsid w:val="00393611"/>
    <w:rsid w:val="003A473A"/>
    <w:rsid w:val="003A6E6B"/>
    <w:rsid w:val="003B2025"/>
    <w:rsid w:val="003C558D"/>
    <w:rsid w:val="0041088D"/>
    <w:rsid w:val="00413BCB"/>
    <w:rsid w:val="004144BA"/>
    <w:rsid w:val="00424B95"/>
    <w:rsid w:val="00436F05"/>
    <w:rsid w:val="004465C0"/>
    <w:rsid w:val="00451683"/>
    <w:rsid w:val="0045702D"/>
    <w:rsid w:val="00475D9A"/>
    <w:rsid w:val="00481903"/>
    <w:rsid w:val="00496DDE"/>
    <w:rsid w:val="004B0BC7"/>
    <w:rsid w:val="004C3C59"/>
    <w:rsid w:val="004D127D"/>
    <w:rsid w:val="00570E48"/>
    <w:rsid w:val="005829BC"/>
    <w:rsid w:val="005862E3"/>
    <w:rsid w:val="00596B01"/>
    <w:rsid w:val="005A7C53"/>
    <w:rsid w:val="005B54B9"/>
    <w:rsid w:val="005E033F"/>
    <w:rsid w:val="005E4A11"/>
    <w:rsid w:val="005E52EC"/>
    <w:rsid w:val="00606023"/>
    <w:rsid w:val="00622FB0"/>
    <w:rsid w:val="00623330"/>
    <w:rsid w:val="00693ABB"/>
    <w:rsid w:val="006B4D8F"/>
    <w:rsid w:val="006C10DA"/>
    <w:rsid w:val="006E300E"/>
    <w:rsid w:val="0071056D"/>
    <w:rsid w:val="007155FC"/>
    <w:rsid w:val="00733E12"/>
    <w:rsid w:val="00774588"/>
    <w:rsid w:val="00794F9C"/>
    <w:rsid w:val="007B4D6F"/>
    <w:rsid w:val="007F646E"/>
    <w:rsid w:val="0081121F"/>
    <w:rsid w:val="0081733D"/>
    <w:rsid w:val="00823F21"/>
    <w:rsid w:val="00877BC4"/>
    <w:rsid w:val="008819F1"/>
    <w:rsid w:val="0088420A"/>
    <w:rsid w:val="008B0DCD"/>
    <w:rsid w:val="008C4BAB"/>
    <w:rsid w:val="008C64EA"/>
    <w:rsid w:val="008C6AF1"/>
    <w:rsid w:val="008D65E9"/>
    <w:rsid w:val="00914D79"/>
    <w:rsid w:val="00936F1D"/>
    <w:rsid w:val="00941D68"/>
    <w:rsid w:val="009469EE"/>
    <w:rsid w:val="00946D9E"/>
    <w:rsid w:val="009A75D2"/>
    <w:rsid w:val="009B3FFD"/>
    <w:rsid w:val="009E162E"/>
    <w:rsid w:val="009E23DC"/>
    <w:rsid w:val="009E7E4A"/>
    <w:rsid w:val="009F06BC"/>
    <w:rsid w:val="009F06C7"/>
    <w:rsid w:val="009F7DD6"/>
    <w:rsid w:val="00A02481"/>
    <w:rsid w:val="00A62142"/>
    <w:rsid w:val="00A905F6"/>
    <w:rsid w:val="00AB208D"/>
    <w:rsid w:val="00AB602F"/>
    <w:rsid w:val="00B104A6"/>
    <w:rsid w:val="00B10798"/>
    <w:rsid w:val="00B133C9"/>
    <w:rsid w:val="00B13EF4"/>
    <w:rsid w:val="00B153AE"/>
    <w:rsid w:val="00B41E51"/>
    <w:rsid w:val="00B43268"/>
    <w:rsid w:val="00B72239"/>
    <w:rsid w:val="00B9601B"/>
    <w:rsid w:val="00BC288C"/>
    <w:rsid w:val="00BC36F0"/>
    <w:rsid w:val="00BF66AA"/>
    <w:rsid w:val="00C5507F"/>
    <w:rsid w:val="00C728CE"/>
    <w:rsid w:val="00C867BF"/>
    <w:rsid w:val="00C90F37"/>
    <w:rsid w:val="00CA5D76"/>
    <w:rsid w:val="00CC63FD"/>
    <w:rsid w:val="00CD69BF"/>
    <w:rsid w:val="00CD736D"/>
    <w:rsid w:val="00D059D1"/>
    <w:rsid w:val="00D13FB2"/>
    <w:rsid w:val="00D42507"/>
    <w:rsid w:val="00D5380B"/>
    <w:rsid w:val="00D6213B"/>
    <w:rsid w:val="00D93F9E"/>
    <w:rsid w:val="00DA668B"/>
    <w:rsid w:val="00DE4991"/>
    <w:rsid w:val="00E107AB"/>
    <w:rsid w:val="00E12E2F"/>
    <w:rsid w:val="00E25F9F"/>
    <w:rsid w:val="00E37BB2"/>
    <w:rsid w:val="00E509A0"/>
    <w:rsid w:val="00E57A12"/>
    <w:rsid w:val="00E72394"/>
    <w:rsid w:val="00ED4870"/>
    <w:rsid w:val="00F03522"/>
    <w:rsid w:val="00F03B4A"/>
    <w:rsid w:val="00F076EC"/>
    <w:rsid w:val="00F16A45"/>
    <w:rsid w:val="00F25AA6"/>
    <w:rsid w:val="00F70549"/>
    <w:rsid w:val="00F76061"/>
    <w:rsid w:val="00F90A18"/>
    <w:rsid w:val="00F927B0"/>
    <w:rsid w:val="00FB1B1C"/>
    <w:rsid w:val="00FE0332"/>
    <w:rsid w:val="00FF2500"/>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22DB89"/>
  <w15:chartTrackingRefBased/>
  <w15:docId w15:val="{A620E07A-C66C-43E4-8E4E-030957B31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733D"/>
    <w:pPr>
      <w:spacing w:after="160" w:line="280" w:lineRule="atLeast"/>
    </w:pPr>
    <w:rPr>
      <w:rFonts w:ascii="Arial" w:hAnsi="Arial"/>
      <w:sz w:val="20"/>
      <w:lang w:val="en-GB"/>
    </w:rPr>
  </w:style>
  <w:style w:type="paragraph" w:styleId="Heading1">
    <w:name w:val="heading 1"/>
    <w:basedOn w:val="Normal"/>
    <w:next w:val="Normal"/>
    <w:link w:val="Heading1Char"/>
    <w:qFormat/>
    <w:rsid w:val="0081733D"/>
    <w:pPr>
      <w:keepNext/>
      <w:keepLines/>
      <w:numPr>
        <w:numId w:val="30"/>
      </w:numPr>
      <w:spacing w:before="240"/>
      <w:outlineLvl w:val="0"/>
    </w:pPr>
    <w:rPr>
      <w:rFonts w:eastAsiaTheme="majorEastAsia" w:cs="Times New Roman (Headings CS)"/>
      <w:b/>
      <w:color w:val="091F40"/>
      <w:sz w:val="36"/>
      <w:szCs w:val="32"/>
    </w:rPr>
  </w:style>
  <w:style w:type="paragraph" w:styleId="Heading2">
    <w:name w:val="heading 2"/>
    <w:basedOn w:val="Normal"/>
    <w:next w:val="Normal"/>
    <w:link w:val="Heading2Char"/>
    <w:unhideWhenUsed/>
    <w:qFormat/>
    <w:rsid w:val="001E3173"/>
    <w:pPr>
      <w:keepNext/>
      <w:keepLines/>
      <w:numPr>
        <w:ilvl w:val="1"/>
        <w:numId w:val="32"/>
      </w:numPr>
      <w:spacing w:before="240" w:after="120"/>
      <w:outlineLvl w:val="1"/>
    </w:pPr>
    <w:rPr>
      <w:rFonts w:eastAsiaTheme="majorEastAsia" w:cs="Times New Roman (Headings CS)"/>
      <w:b/>
      <w:color w:val="0090B9"/>
      <w:sz w:val="26"/>
      <w:szCs w:val="26"/>
    </w:rPr>
  </w:style>
  <w:style w:type="paragraph" w:styleId="Heading3">
    <w:name w:val="heading 3"/>
    <w:basedOn w:val="Normal"/>
    <w:next w:val="Normal"/>
    <w:link w:val="Heading3Char"/>
    <w:unhideWhenUsed/>
    <w:qFormat/>
    <w:rsid w:val="001E3173"/>
    <w:pPr>
      <w:keepNext/>
      <w:keepLines/>
      <w:spacing w:before="240" w:after="120"/>
      <w:outlineLvl w:val="2"/>
    </w:pPr>
    <w:rPr>
      <w:rFonts w:eastAsiaTheme="majorEastAsia" w:cstheme="majorBidi"/>
      <w:b/>
      <w:color w:val="0090B9"/>
      <w:sz w:val="22"/>
    </w:rPr>
  </w:style>
  <w:style w:type="paragraph" w:styleId="Heading4">
    <w:name w:val="heading 4"/>
    <w:aliases w:val="1.1.1.1. Heading 4"/>
    <w:basedOn w:val="Normal"/>
    <w:next w:val="Normal"/>
    <w:link w:val="Heading4Char"/>
    <w:unhideWhenUsed/>
    <w:qFormat/>
    <w:rsid w:val="002E5F73"/>
    <w:pPr>
      <w:keepNext/>
      <w:keepLines/>
      <w:spacing w:before="120" w:after="0"/>
      <w:outlineLvl w:val="3"/>
    </w:pPr>
    <w:rPr>
      <w:rFonts w:eastAsiaTheme="majorEastAsia" w:cstheme="majorBidi"/>
      <w:b/>
      <w:bCs/>
      <w:szCs w:val="22"/>
    </w:rPr>
  </w:style>
  <w:style w:type="paragraph" w:styleId="Heading5">
    <w:name w:val="heading 5"/>
    <w:basedOn w:val="Normal"/>
    <w:next w:val="Normal"/>
    <w:link w:val="Heading5Char"/>
    <w:uiPriority w:val="9"/>
    <w:semiHidden/>
    <w:unhideWhenUsed/>
    <w:qFormat/>
    <w:rsid w:val="00B10798"/>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2D7AB7"/>
    <w:pPr>
      <w:keepNext/>
      <w:keepLines/>
      <w:numPr>
        <w:ilvl w:val="5"/>
        <w:numId w:val="16"/>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2D7AB7"/>
    <w:pPr>
      <w:keepNext/>
      <w:keepLines/>
      <w:numPr>
        <w:ilvl w:val="6"/>
        <w:numId w:val="16"/>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2D7AB7"/>
    <w:pPr>
      <w:keepNext/>
      <w:keepLines/>
      <w:numPr>
        <w:ilvl w:val="7"/>
        <w:numId w:val="16"/>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D7AB7"/>
    <w:pPr>
      <w:keepNext/>
      <w:keepLines/>
      <w:numPr>
        <w:ilvl w:val="8"/>
        <w:numId w:val="16"/>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1733D"/>
    <w:rPr>
      <w:rFonts w:ascii="Arial" w:eastAsiaTheme="majorEastAsia" w:hAnsi="Arial" w:cs="Times New Roman (Headings CS)"/>
      <w:b/>
      <w:color w:val="091F40"/>
      <w:sz w:val="36"/>
      <w:szCs w:val="32"/>
      <w:lang w:val="en-GB"/>
    </w:rPr>
  </w:style>
  <w:style w:type="character" w:customStyle="1" w:styleId="Heading2Char">
    <w:name w:val="Heading 2 Char"/>
    <w:basedOn w:val="DefaultParagraphFont"/>
    <w:link w:val="Heading2"/>
    <w:rsid w:val="001E3173"/>
    <w:rPr>
      <w:rFonts w:ascii="Arial" w:eastAsiaTheme="majorEastAsia" w:hAnsi="Arial" w:cs="Times New Roman (Headings CS)"/>
      <w:b/>
      <w:color w:val="0090B9"/>
      <w:sz w:val="26"/>
      <w:szCs w:val="26"/>
      <w:lang w:val="en-GB"/>
    </w:rPr>
  </w:style>
  <w:style w:type="character" w:customStyle="1" w:styleId="Heading3Char">
    <w:name w:val="Heading 3 Char"/>
    <w:basedOn w:val="DefaultParagraphFont"/>
    <w:link w:val="Heading3"/>
    <w:rsid w:val="001E3173"/>
    <w:rPr>
      <w:rFonts w:ascii="Arial" w:eastAsiaTheme="majorEastAsia" w:hAnsi="Arial" w:cstheme="majorBidi"/>
      <w:b/>
      <w:color w:val="0090B9"/>
      <w:sz w:val="22"/>
      <w:lang w:val="en-GB"/>
    </w:rPr>
  </w:style>
  <w:style w:type="paragraph" w:styleId="Header">
    <w:name w:val="header"/>
    <w:basedOn w:val="Normal"/>
    <w:link w:val="HeaderChar"/>
    <w:uiPriority w:val="99"/>
    <w:unhideWhenUsed/>
    <w:rsid w:val="009469EE"/>
    <w:pPr>
      <w:tabs>
        <w:tab w:val="center" w:pos="4513"/>
        <w:tab w:val="right" w:pos="9026"/>
      </w:tabs>
    </w:pPr>
  </w:style>
  <w:style w:type="character" w:customStyle="1" w:styleId="HeaderChar">
    <w:name w:val="Header Char"/>
    <w:basedOn w:val="DefaultParagraphFont"/>
    <w:link w:val="Header"/>
    <w:uiPriority w:val="99"/>
    <w:rsid w:val="009469EE"/>
    <w:rPr>
      <w:sz w:val="20"/>
      <w:lang w:val="en-GB"/>
    </w:rPr>
  </w:style>
  <w:style w:type="paragraph" w:styleId="Footer">
    <w:name w:val="footer"/>
    <w:basedOn w:val="Normal"/>
    <w:link w:val="FooterChar"/>
    <w:uiPriority w:val="99"/>
    <w:unhideWhenUsed/>
    <w:rsid w:val="004465C0"/>
    <w:pPr>
      <w:tabs>
        <w:tab w:val="center" w:pos="4513"/>
        <w:tab w:val="right" w:pos="9026"/>
      </w:tabs>
    </w:pPr>
    <w:rPr>
      <w:color w:val="262626" w:themeColor="text1" w:themeTint="D9"/>
      <w:sz w:val="18"/>
    </w:rPr>
  </w:style>
  <w:style w:type="character" w:customStyle="1" w:styleId="FooterChar">
    <w:name w:val="Footer Char"/>
    <w:basedOn w:val="DefaultParagraphFont"/>
    <w:link w:val="Footer"/>
    <w:uiPriority w:val="99"/>
    <w:rsid w:val="004465C0"/>
    <w:rPr>
      <w:rFonts w:ascii="Arial" w:hAnsi="Arial"/>
      <w:color w:val="262626" w:themeColor="text1" w:themeTint="D9"/>
      <w:sz w:val="18"/>
      <w:lang w:val="en-GB"/>
    </w:rPr>
  </w:style>
  <w:style w:type="paragraph" w:customStyle="1" w:styleId="BreakouttextOrange">
    <w:name w:val="Breakout text Orange"/>
    <w:basedOn w:val="Normal"/>
    <w:qFormat/>
    <w:rsid w:val="00D42507"/>
    <w:pPr>
      <w:pBdr>
        <w:top w:val="single" w:sz="36" w:space="8" w:color="FFCF8A"/>
        <w:left w:val="single" w:sz="48" w:space="3" w:color="FFF1DC"/>
        <w:bottom w:val="single" w:sz="36" w:space="8" w:color="FFCF8A"/>
        <w:right w:val="single" w:sz="48" w:space="3" w:color="FFF1DC"/>
      </w:pBdr>
      <w:shd w:val="clear" w:color="0090B9" w:fill="FFF1DC"/>
      <w:spacing w:before="240" w:after="240"/>
      <w:ind w:left="142" w:right="142"/>
    </w:pPr>
    <w:rPr>
      <w:lang w:val="en-AU"/>
    </w:rPr>
  </w:style>
  <w:style w:type="paragraph" w:styleId="Quote">
    <w:name w:val="Quote"/>
    <w:basedOn w:val="Normal"/>
    <w:next w:val="Normal"/>
    <w:link w:val="QuoteChar"/>
    <w:uiPriority w:val="29"/>
    <w:qFormat/>
    <w:rsid w:val="00FF2500"/>
    <w:pPr>
      <w:spacing w:before="120"/>
      <w:ind w:left="284" w:right="284"/>
    </w:pPr>
    <w:rPr>
      <w:i/>
      <w:iCs/>
    </w:rPr>
  </w:style>
  <w:style w:type="character" w:customStyle="1" w:styleId="QuoteChar">
    <w:name w:val="Quote Char"/>
    <w:basedOn w:val="DefaultParagraphFont"/>
    <w:link w:val="Quote"/>
    <w:uiPriority w:val="29"/>
    <w:rsid w:val="00FF2500"/>
    <w:rPr>
      <w:rFonts w:ascii="Arial" w:hAnsi="Arial"/>
      <w:i/>
      <w:iCs/>
      <w:sz w:val="20"/>
      <w:lang w:val="en-GB"/>
    </w:rPr>
  </w:style>
  <w:style w:type="paragraph" w:customStyle="1" w:styleId="Bullet1">
    <w:name w:val="Bullet 1"/>
    <w:basedOn w:val="Normal"/>
    <w:next w:val="Normal"/>
    <w:qFormat/>
    <w:rsid w:val="009469EE"/>
    <w:pPr>
      <w:numPr>
        <w:numId w:val="2"/>
      </w:numPr>
      <w:ind w:left="284" w:hanging="284"/>
    </w:pPr>
    <w:rPr>
      <w:lang w:val="en-AU"/>
    </w:rPr>
  </w:style>
  <w:style w:type="paragraph" w:customStyle="1" w:styleId="Bullet2">
    <w:name w:val="Bullet 2"/>
    <w:basedOn w:val="Bullet1"/>
    <w:qFormat/>
    <w:rsid w:val="00936F1D"/>
    <w:pPr>
      <w:numPr>
        <w:numId w:val="1"/>
      </w:numPr>
    </w:pPr>
  </w:style>
  <w:style w:type="paragraph" w:customStyle="1" w:styleId="Numberlist">
    <w:name w:val="Number list"/>
    <w:basedOn w:val="Normal"/>
    <w:next w:val="Normal"/>
    <w:qFormat/>
    <w:rsid w:val="009469EE"/>
    <w:pPr>
      <w:numPr>
        <w:numId w:val="4"/>
      </w:numPr>
      <w:ind w:left="284" w:hanging="284"/>
    </w:pPr>
    <w:rPr>
      <w:lang w:val="en-AU"/>
    </w:rPr>
  </w:style>
  <w:style w:type="table" w:styleId="TableGrid">
    <w:name w:val="Table Grid"/>
    <w:basedOn w:val="TableNormal"/>
    <w:uiPriority w:val="39"/>
    <w:rsid w:val="00D42507"/>
    <w:rPr>
      <w:sz w:val="20"/>
      <w:lang w:val="en-GB"/>
    </w:rPr>
    <w:tblPr>
      <w:tblStyleRowBandSize w:val="1"/>
      <w:tblCellMar>
        <w:top w:w="57" w:type="dxa"/>
        <w:bottom w:w="57" w:type="dxa"/>
      </w:tblCellMar>
    </w:tblPr>
    <w:tcPr>
      <w:shd w:val="clear" w:color="auto" w:fill="auto"/>
      <w:tcMar>
        <w:top w:w="85" w:type="dxa"/>
        <w:bottom w:w="85" w:type="dxa"/>
      </w:tcMar>
    </w:tcPr>
    <w:tblStylePr w:type="firstRow">
      <w:tblPr/>
      <w:tcPr>
        <w:shd w:val="clear" w:color="auto" w:fill="0090B9"/>
        <w:tcMar>
          <w:top w:w="57" w:type="dxa"/>
          <w:left w:w="108" w:type="dxa"/>
          <w:bottom w:w="57" w:type="dxa"/>
          <w:right w:w="108" w:type="dxa"/>
        </w:tcMar>
      </w:tcPr>
    </w:tblStylePr>
    <w:tblStylePr w:type="lastRow">
      <w:tblPr/>
      <w:tcPr>
        <w:tcBorders>
          <w:bottom w:val="single" w:sz="4" w:space="0" w:color="0090B9"/>
        </w:tcBorders>
        <w:shd w:val="clear" w:color="auto" w:fill="auto"/>
      </w:tcPr>
    </w:tblStylePr>
    <w:tblStylePr w:type="firstCol">
      <w:rPr>
        <w:color w:val="auto"/>
      </w:rPr>
    </w:tblStylePr>
    <w:tblStylePr w:type="band1Horz">
      <w:tblPr/>
      <w:tcPr>
        <w:shd w:val="clear" w:color="auto" w:fill="E7EEF5"/>
      </w:tcPr>
    </w:tblStylePr>
  </w:style>
  <w:style w:type="paragraph" w:customStyle="1" w:styleId="TableText">
    <w:name w:val="Table Text"/>
    <w:basedOn w:val="Normal"/>
    <w:link w:val="TableTextChar"/>
    <w:qFormat/>
    <w:rsid w:val="00E107AB"/>
    <w:pPr>
      <w:spacing w:after="0"/>
    </w:pPr>
    <w:rPr>
      <w:color w:val="091F40"/>
      <w:sz w:val="18"/>
      <w:lang w:val="en-AU"/>
    </w:rPr>
  </w:style>
  <w:style w:type="character" w:styleId="PageNumber">
    <w:name w:val="page number"/>
    <w:basedOn w:val="DefaultParagraphFont"/>
    <w:uiPriority w:val="99"/>
    <w:semiHidden/>
    <w:unhideWhenUsed/>
    <w:rsid w:val="009469EE"/>
  </w:style>
  <w:style w:type="paragraph" w:customStyle="1" w:styleId="Alphabetlist">
    <w:name w:val="Alphabet list"/>
    <w:basedOn w:val="Numberlist"/>
    <w:qFormat/>
    <w:rsid w:val="009469EE"/>
    <w:pPr>
      <w:numPr>
        <w:numId w:val="3"/>
      </w:numPr>
      <w:ind w:left="568" w:hanging="284"/>
    </w:pPr>
  </w:style>
  <w:style w:type="character" w:customStyle="1" w:styleId="Heading4Char">
    <w:name w:val="Heading 4 Char"/>
    <w:aliases w:val="1.1.1.1. Heading 4 Char"/>
    <w:basedOn w:val="DefaultParagraphFont"/>
    <w:link w:val="Heading4"/>
    <w:rsid w:val="002E5F73"/>
    <w:rPr>
      <w:rFonts w:ascii="Arial" w:eastAsiaTheme="majorEastAsia" w:hAnsi="Arial" w:cstheme="majorBidi"/>
      <w:b/>
      <w:bCs/>
      <w:sz w:val="20"/>
      <w:szCs w:val="22"/>
      <w:lang w:val="en-GB"/>
    </w:rPr>
  </w:style>
  <w:style w:type="paragraph" w:styleId="Title">
    <w:name w:val="Title"/>
    <w:basedOn w:val="Normal"/>
    <w:next w:val="Normal"/>
    <w:link w:val="TitleChar"/>
    <w:uiPriority w:val="10"/>
    <w:qFormat/>
    <w:rsid w:val="00FF2500"/>
    <w:pPr>
      <w:spacing w:after="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FF2500"/>
    <w:rPr>
      <w:rFonts w:ascii="Arial" w:eastAsiaTheme="majorEastAsia" w:hAnsi="Arial" w:cstheme="majorBidi"/>
      <w:spacing w:val="-10"/>
      <w:kern w:val="28"/>
      <w:sz w:val="56"/>
      <w:szCs w:val="56"/>
      <w:lang w:val="en-GB"/>
    </w:rPr>
  </w:style>
  <w:style w:type="paragraph" w:customStyle="1" w:styleId="BreakouttextTeal">
    <w:name w:val="Breakout text Teal"/>
    <w:basedOn w:val="BreakouttextOrange"/>
    <w:qFormat/>
    <w:rsid w:val="00D42507"/>
    <w:pPr>
      <w:pBdr>
        <w:top w:val="single" w:sz="36" w:space="8" w:color="99D5C0"/>
        <w:left w:val="single" w:sz="48" w:space="3" w:color="E7F4EE"/>
        <w:bottom w:val="single" w:sz="36" w:space="8" w:color="99D5C0"/>
        <w:right w:val="single" w:sz="48" w:space="3" w:color="E7F4EE"/>
      </w:pBdr>
      <w:shd w:val="clear" w:color="0090B9" w:fill="E7F4EE"/>
    </w:pPr>
  </w:style>
  <w:style w:type="paragraph" w:customStyle="1" w:styleId="BreakouttextBlue">
    <w:name w:val="Breakout text Blue"/>
    <w:basedOn w:val="BreakouttextTeal"/>
    <w:qFormat/>
    <w:rsid w:val="00D42507"/>
    <w:pPr>
      <w:pBdr>
        <w:top w:val="single" w:sz="36" w:space="8" w:color="6DA8CE"/>
        <w:left w:val="single" w:sz="48" w:space="3" w:color="DDE7F0"/>
        <w:bottom w:val="single" w:sz="36" w:space="8" w:color="6DA8CE"/>
        <w:right w:val="single" w:sz="48" w:space="3" w:color="DDE7F0"/>
      </w:pBdr>
      <w:shd w:val="clear" w:color="0090B9" w:fill="DDE7F0"/>
    </w:pPr>
  </w:style>
  <w:style w:type="numbering" w:customStyle="1" w:styleId="CurrentList1">
    <w:name w:val="Current List1"/>
    <w:uiPriority w:val="99"/>
    <w:rsid w:val="00936F1D"/>
    <w:pPr>
      <w:numPr>
        <w:numId w:val="5"/>
      </w:numPr>
    </w:pPr>
  </w:style>
  <w:style w:type="numbering" w:customStyle="1" w:styleId="CurrentList2">
    <w:name w:val="Current List2"/>
    <w:uiPriority w:val="99"/>
    <w:rsid w:val="00936F1D"/>
    <w:pPr>
      <w:numPr>
        <w:numId w:val="6"/>
      </w:numPr>
    </w:pPr>
  </w:style>
  <w:style w:type="numbering" w:customStyle="1" w:styleId="CurrentList3">
    <w:name w:val="Current List3"/>
    <w:uiPriority w:val="99"/>
    <w:rsid w:val="00936F1D"/>
    <w:pPr>
      <w:numPr>
        <w:numId w:val="7"/>
      </w:numPr>
    </w:pPr>
  </w:style>
  <w:style w:type="numbering" w:customStyle="1" w:styleId="CurrentList4">
    <w:name w:val="Current List4"/>
    <w:uiPriority w:val="99"/>
    <w:rsid w:val="00936F1D"/>
    <w:pPr>
      <w:numPr>
        <w:numId w:val="8"/>
      </w:numPr>
    </w:pPr>
  </w:style>
  <w:style w:type="numbering" w:customStyle="1" w:styleId="CurrentList5">
    <w:name w:val="Current List5"/>
    <w:uiPriority w:val="99"/>
    <w:rsid w:val="00936F1D"/>
    <w:pPr>
      <w:numPr>
        <w:numId w:val="9"/>
      </w:numPr>
    </w:pPr>
  </w:style>
  <w:style w:type="character" w:styleId="Hyperlink">
    <w:name w:val="Hyperlink"/>
    <w:basedOn w:val="DefaultParagraphFont"/>
    <w:uiPriority w:val="99"/>
    <w:unhideWhenUsed/>
    <w:rsid w:val="004144BA"/>
    <w:rPr>
      <w:color w:val="auto"/>
      <w:u w:val="single"/>
    </w:rPr>
  </w:style>
  <w:style w:type="character" w:styleId="UnresolvedMention">
    <w:name w:val="Unresolved Mention"/>
    <w:basedOn w:val="DefaultParagraphFont"/>
    <w:uiPriority w:val="99"/>
    <w:semiHidden/>
    <w:unhideWhenUsed/>
    <w:rsid w:val="00F927B0"/>
    <w:rPr>
      <w:color w:val="605E5C"/>
      <w:shd w:val="clear" w:color="auto" w:fill="E1DFDD"/>
    </w:rPr>
  </w:style>
  <w:style w:type="paragraph" w:styleId="TOC1">
    <w:name w:val="toc 1"/>
    <w:basedOn w:val="Normal"/>
    <w:next w:val="Normal"/>
    <w:autoRedefine/>
    <w:uiPriority w:val="39"/>
    <w:unhideWhenUsed/>
    <w:rsid w:val="00941D68"/>
    <w:pPr>
      <w:tabs>
        <w:tab w:val="left" w:pos="397"/>
        <w:tab w:val="right" w:leader="dot" w:pos="10188"/>
      </w:tabs>
      <w:spacing w:before="80" w:after="0" w:line="240" w:lineRule="auto"/>
    </w:pPr>
  </w:style>
  <w:style w:type="paragraph" w:customStyle="1" w:styleId="Frontcovertitle">
    <w:name w:val="Front cover title"/>
    <w:basedOn w:val="Normal"/>
    <w:qFormat/>
    <w:rsid w:val="00215427"/>
    <w:pPr>
      <w:keepNext/>
      <w:keepLines/>
      <w:spacing w:before="6800"/>
      <w:outlineLvl w:val="0"/>
    </w:pPr>
    <w:rPr>
      <w:rFonts w:eastAsiaTheme="majorEastAsia" w:cs="Times New Roman (Headings CS)"/>
      <w:b/>
      <w:color w:val="091F40"/>
      <w:sz w:val="56"/>
      <w:szCs w:val="32"/>
    </w:rPr>
  </w:style>
  <w:style w:type="paragraph" w:customStyle="1" w:styleId="List-numberL1">
    <w:name w:val="List - number L1"/>
    <w:basedOn w:val="Normal"/>
    <w:next w:val="Normal"/>
    <w:qFormat/>
    <w:rsid w:val="009F7DD6"/>
    <w:pPr>
      <w:numPr>
        <w:numId w:val="11"/>
      </w:numPr>
    </w:pPr>
    <w:rPr>
      <w:lang w:val="en-AU"/>
    </w:rPr>
  </w:style>
  <w:style w:type="paragraph" w:customStyle="1" w:styleId="List-alphabetL2">
    <w:name w:val="List - alphabet L2"/>
    <w:basedOn w:val="List-numberL1"/>
    <w:qFormat/>
    <w:rsid w:val="00F90A18"/>
    <w:pPr>
      <w:numPr>
        <w:numId w:val="14"/>
      </w:numPr>
    </w:pPr>
  </w:style>
  <w:style w:type="paragraph" w:customStyle="1" w:styleId="List-romannumberL3">
    <w:name w:val="List - roman number L3"/>
    <w:basedOn w:val="List-alphabetL2"/>
    <w:qFormat/>
    <w:rsid w:val="00B43268"/>
    <w:pPr>
      <w:numPr>
        <w:numId w:val="10"/>
      </w:numPr>
    </w:pPr>
  </w:style>
  <w:style w:type="paragraph" w:customStyle="1" w:styleId="Coversubtitle">
    <w:name w:val="Cover subtitle"/>
    <w:basedOn w:val="Frontcovertitle"/>
    <w:qFormat/>
    <w:rsid w:val="00215427"/>
    <w:pPr>
      <w:spacing w:before="120" w:after="360"/>
    </w:pPr>
    <w:rPr>
      <w:b w:val="0"/>
      <w:sz w:val="36"/>
    </w:rPr>
  </w:style>
  <w:style w:type="character" w:styleId="PlaceholderText">
    <w:name w:val="Placeholder Text"/>
    <w:basedOn w:val="DefaultParagraphFont"/>
    <w:uiPriority w:val="99"/>
    <w:semiHidden/>
    <w:rsid w:val="00C728CE"/>
    <w:rPr>
      <w:color w:val="808080"/>
    </w:rPr>
  </w:style>
  <w:style w:type="paragraph" w:styleId="TOC2">
    <w:name w:val="toc 2"/>
    <w:basedOn w:val="Normal"/>
    <w:next w:val="Normal"/>
    <w:autoRedefine/>
    <w:uiPriority w:val="39"/>
    <w:unhideWhenUsed/>
    <w:rsid w:val="008819F1"/>
    <w:pPr>
      <w:tabs>
        <w:tab w:val="left" w:pos="851"/>
        <w:tab w:val="right" w:leader="dot" w:pos="10188"/>
      </w:tabs>
      <w:spacing w:after="0"/>
      <w:ind w:left="397"/>
    </w:pPr>
  </w:style>
  <w:style w:type="numbering" w:customStyle="1" w:styleId="CurrentList6">
    <w:name w:val="Current List6"/>
    <w:uiPriority w:val="99"/>
    <w:rsid w:val="009F7DD6"/>
    <w:pPr>
      <w:numPr>
        <w:numId w:val="12"/>
      </w:numPr>
    </w:pPr>
  </w:style>
  <w:style w:type="numbering" w:customStyle="1" w:styleId="CurrentList7">
    <w:name w:val="Current List7"/>
    <w:uiPriority w:val="99"/>
    <w:rsid w:val="00F90A18"/>
    <w:pPr>
      <w:numPr>
        <w:numId w:val="13"/>
      </w:numPr>
    </w:pPr>
  </w:style>
  <w:style w:type="numbering" w:customStyle="1" w:styleId="CurrentList8">
    <w:name w:val="Current List8"/>
    <w:uiPriority w:val="99"/>
    <w:rsid w:val="00F90A18"/>
    <w:pPr>
      <w:numPr>
        <w:numId w:val="15"/>
      </w:numPr>
    </w:pPr>
  </w:style>
  <w:style w:type="paragraph" w:styleId="TOC3">
    <w:name w:val="toc 3"/>
    <w:basedOn w:val="Normal"/>
    <w:next w:val="Normal"/>
    <w:autoRedefine/>
    <w:uiPriority w:val="39"/>
    <w:unhideWhenUsed/>
    <w:rsid w:val="008819F1"/>
    <w:pPr>
      <w:tabs>
        <w:tab w:val="left" w:pos="1418"/>
      </w:tabs>
      <w:spacing w:after="0"/>
      <w:ind w:left="851"/>
    </w:pPr>
  </w:style>
  <w:style w:type="table" w:styleId="TableGridLight">
    <w:name w:val="Grid Table Light"/>
    <w:basedOn w:val="TableNormal"/>
    <w:uiPriority w:val="40"/>
    <w:rsid w:val="00CD736D"/>
    <w:tblPr>
      <w:tblBorders>
        <w:top w:val="single" w:sz="4" w:space="0" w:color="0090B9"/>
        <w:left w:val="single" w:sz="4" w:space="0" w:color="0090B9"/>
        <w:bottom w:val="single" w:sz="4" w:space="0" w:color="0090B9"/>
        <w:right w:val="single" w:sz="4" w:space="0" w:color="0090B9"/>
        <w:insideH w:val="single" w:sz="4" w:space="0" w:color="0090B9"/>
        <w:insideV w:val="single" w:sz="4" w:space="0" w:color="0090B9"/>
      </w:tblBorders>
      <w:tblCellMar>
        <w:top w:w="57" w:type="dxa"/>
        <w:left w:w="57" w:type="dxa"/>
        <w:bottom w:w="57" w:type="dxa"/>
        <w:right w:w="57" w:type="dxa"/>
      </w:tblCellMar>
    </w:tblPr>
    <w:tblStylePr w:type="firstRow">
      <w:pPr>
        <w:jc w:val="left"/>
      </w:pPr>
      <w:rPr>
        <w:b/>
        <w:color w:val="FFFFFF" w:themeColor="background1"/>
      </w:rPr>
      <w:tblPr/>
      <w:tcPr>
        <w:shd w:val="clear" w:color="auto" w:fill="0090B9"/>
        <w:tcMar>
          <w:top w:w="57" w:type="dxa"/>
          <w:left w:w="108" w:type="dxa"/>
          <w:bottom w:w="57" w:type="dxa"/>
          <w:right w:w="108" w:type="dxa"/>
        </w:tcMar>
        <w:vAlign w:val="bottom"/>
      </w:tcPr>
    </w:tblStylePr>
  </w:style>
  <w:style w:type="paragraph" w:customStyle="1" w:styleId="TOCHeading1">
    <w:name w:val="TOC Heading1"/>
    <w:basedOn w:val="Heading1"/>
    <w:qFormat/>
    <w:rsid w:val="00CD69BF"/>
    <w:rPr>
      <w:lang w:val="en-AU"/>
    </w:rPr>
  </w:style>
  <w:style w:type="character" w:customStyle="1" w:styleId="Heading5Char">
    <w:name w:val="Heading 5 Char"/>
    <w:basedOn w:val="DefaultParagraphFont"/>
    <w:link w:val="Heading5"/>
    <w:uiPriority w:val="9"/>
    <w:semiHidden/>
    <w:rsid w:val="00CD69BF"/>
    <w:rPr>
      <w:rFonts w:asciiTheme="majorHAnsi" w:eastAsiaTheme="majorEastAsia" w:hAnsiTheme="majorHAnsi" w:cstheme="majorBidi"/>
      <w:color w:val="2F5496" w:themeColor="accent1" w:themeShade="BF"/>
      <w:sz w:val="20"/>
      <w:lang w:val="en-GB"/>
    </w:rPr>
  </w:style>
  <w:style w:type="character" w:customStyle="1" w:styleId="Heading6Char">
    <w:name w:val="Heading 6 Char"/>
    <w:basedOn w:val="DefaultParagraphFont"/>
    <w:link w:val="Heading6"/>
    <w:uiPriority w:val="9"/>
    <w:semiHidden/>
    <w:rsid w:val="00CD69BF"/>
    <w:rPr>
      <w:rFonts w:asciiTheme="majorHAnsi" w:eastAsiaTheme="majorEastAsia" w:hAnsiTheme="majorHAnsi" w:cstheme="majorBidi"/>
      <w:color w:val="1F3763" w:themeColor="accent1" w:themeShade="7F"/>
      <w:sz w:val="20"/>
      <w:lang w:val="en-GB"/>
    </w:rPr>
  </w:style>
  <w:style w:type="character" w:customStyle="1" w:styleId="Heading7Char">
    <w:name w:val="Heading 7 Char"/>
    <w:basedOn w:val="DefaultParagraphFont"/>
    <w:link w:val="Heading7"/>
    <w:uiPriority w:val="9"/>
    <w:semiHidden/>
    <w:rsid w:val="00CD69BF"/>
    <w:rPr>
      <w:rFonts w:asciiTheme="majorHAnsi" w:eastAsiaTheme="majorEastAsia" w:hAnsiTheme="majorHAnsi" w:cstheme="majorBidi"/>
      <w:i/>
      <w:iCs/>
      <w:color w:val="1F3763" w:themeColor="accent1" w:themeShade="7F"/>
      <w:sz w:val="20"/>
      <w:lang w:val="en-GB"/>
    </w:rPr>
  </w:style>
  <w:style w:type="character" w:customStyle="1" w:styleId="Heading8Char">
    <w:name w:val="Heading 8 Char"/>
    <w:basedOn w:val="DefaultParagraphFont"/>
    <w:link w:val="Heading8"/>
    <w:uiPriority w:val="9"/>
    <w:semiHidden/>
    <w:rsid w:val="00CD69BF"/>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uiPriority w:val="9"/>
    <w:semiHidden/>
    <w:rsid w:val="00CD69BF"/>
    <w:rPr>
      <w:rFonts w:asciiTheme="majorHAnsi" w:eastAsiaTheme="majorEastAsia" w:hAnsiTheme="majorHAnsi" w:cstheme="majorBidi"/>
      <w:i/>
      <w:iCs/>
      <w:color w:val="272727" w:themeColor="text1" w:themeTint="D8"/>
      <w:sz w:val="21"/>
      <w:szCs w:val="21"/>
      <w:lang w:val="en-GB"/>
    </w:rPr>
  </w:style>
  <w:style w:type="paragraph" w:customStyle="1" w:styleId="TableHeader">
    <w:name w:val="Table Header"/>
    <w:link w:val="TableHeaderChar"/>
    <w:rsid w:val="00E25F9F"/>
    <w:pPr>
      <w:keepNext/>
    </w:pPr>
    <w:rPr>
      <w:rFonts w:ascii="Arial Bold" w:eastAsia="Times New Roman" w:hAnsi="Arial Bold" w:cs="Arial"/>
      <w:b/>
      <w:color w:val="FFFFFF"/>
      <w:sz w:val="20"/>
      <w:szCs w:val="20"/>
    </w:rPr>
  </w:style>
  <w:style w:type="numbering" w:customStyle="1" w:styleId="CurrentList9">
    <w:name w:val="Current List9"/>
    <w:uiPriority w:val="99"/>
    <w:rsid w:val="00CD69BF"/>
    <w:pPr>
      <w:numPr>
        <w:numId w:val="17"/>
      </w:numPr>
    </w:pPr>
  </w:style>
  <w:style w:type="numbering" w:customStyle="1" w:styleId="CurrentList10">
    <w:name w:val="Current List10"/>
    <w:uiPriority w:val="99"/>
    <w:rsid w:val="00CD69BF"/>
    <w:pPr>
      <w:numPr>
        <w:numId w:val="18"/>
      </w:numPr>
    </w:pPr>
  </w:style>
  <w:style w:type="numbering" w:customStyle="1" w:styleId="CurrentList11">
    <w:name w:val="Current List11"/>
    <w:uiPriority w:val="99"/>
    <w:rsid w:val="002D7AB7"/>
    <w:pPr>
      <w:numPr>
        <w:numId w:val="19"/>
      </w:numPr>
    </w:pPr>
  </w:style>
  <w:style w:type="numbering" w:customStyle="1" w:styleId="CurrentList12">
    <w:name w:val="Current List12"/>
    <w:uiPriority w:val="99"/>
    <w:rsid w:val="002D7AB7"/>
    <w:pPr>
      <w:numPr>
        <w:numId w:val="20"/>
      </w:numPr>
    </w:pPr>
  </w:style>
  <w:style w:type="numbering" w:customStyle="1" w:styleId="CurrentList13">
    <w:name w:val="Current List13"/>
    <w:uiPriority w:val="99"/>
    <w:rsid w:val="002D7AB7"/>
    <w:pPr>
      <w:numPr>
        <w:numId w:val="21"/>
      </w:numPr>
    </w:pPr>
  </w:style>
  <w:style w:type="paragraph" w:customStyle="1" w:styleId="AppendixHeading1">
    <w:name w:val="Appendix Heading 1"/>
    <w:next w:val="Normal"/>
    <w:rsid w:val="00CD736D"/>
    <w:pPr>
      <w:keepNext/>
      <w:pageBreakBefore/>
      <w:tabs>
        <w:tab w:val="left" w:pos="2268"/>
      </w:tabs>
      <w:spacing w:after="120"/>
      <w:ind w:left="2268" w:hanging="2268"/>
      <w:contextualSpacing/>
      <w:outlineLvl w:val="0"/>
    </w:pPr>
    <w:rPr>
      <w:rFonts w:ascii="Arial" w:eastAsia="Times New Roman" w:hAnsi="Arial" w:cs="Arial"/>
      <w:b/>
      <w:color w:val="000000" w:themeColor="text1"/>
      <w:sz w:val="36"/>
      <w:szCs w:val="36"/>
    </w:rPr>
  </w:style>
  <w:style w:type="paragraph" w:customStyle="1" w:styleId="TableLabel">
    <w:name w:val="Table Label"/>
    <w:next w:val="Normal"/>
    <w:rsid w:val="00071BAC"/>
    <w:pPr>
      <w:keepNext/>
      <w:keepLines/>
      <w:tabs>
        <w:tab w:val="left" w:pos="1701"/>
      </w:tabs>
      <w:spacing w:before="120" w:after="60"/>
      <w:ind w:left="907" w:hanging="907"/>
    </w:pPr>
    <w:rPr>
      <w:rFonts w:ascii="Arial" w:eastAsia="Times New Roman" w:hAnsi="Arial" w:cs="Times New Roman"/>
      <w:b/>
      <w:bCs/>
      <w:color w:val="000000"/>
      <w:sz w:val="20"/>
      <w:szCs w:val="20"/>
    </w:rPr>
  </w:style>
  <w:style w:type="numbering" w:styleId="111111">
    <w:name w:val="Outline List 2"/>
    <w:basedOn w:val="NoList"/>
    <w:semiHidden/>
    <w:rsid w:val="00E25F9F"/>
    <w:pPr>
      <w:numPr>
        <w:numId w:val="22"/>
      </w:numPr>
    </w:pPr>
  </w:style>
  <w:style w:type="paragraph" w:customStyle="1" w:styleId="GuidanceText">
    <w:name w:val="Guidance Text"/>
    <w:next w:val="Normal"/>
    <w:link w:val="GuidanceTextChar"/>
    <w:rsid w:val="00E25F9F"/>
    <w:pPr>
      <w:spacing w:before="120" w:after="120"/>
    </w:pPr>
    <w:rPr>
      <w:rFonts w:ascii="Arial" w:eastAsia="Times New Roman" w:hAnsi="Arial" w:cs="Arial"/>
      <w:i/>
      <w:vanish/>
      <w:color w:val="0000FF"/>
      <w:sz w:val="20"/>
    </w:rPr>
  </w:style>
  <w:style w:type="character" w:customStyle="1" w:styleId="GuidanceTextChar">
    <w:name w:val="Guidance Text Char"/>
    <w:link w:val="GuidanceText"/>
    <w:rsid w:val="00E25F9F"/>
    <w:rPr>
      <w:rFonts w:ascii="Arial" w:eastAsia="Times New Roman" w:hAnsi="Arial" w:cs="Arial"/>
      <w:i/>
      <w:vanish/>
      <w:color w:val="0000FF"/>
      <w:sz w:val="20"/>
    </w:rPr>
  </w:style>
  <w:style w:type="table" w:styleId="ListTable3">
    <w:name w:val="List Table 3"/>
    <w:basedOn w:val="TableNormal"/>
    <w:uiPriority w:val="48"/>
    <w:rsid w:val="00E25F9F"/>
    <w:rPr>
      <w:rFonts w:ascii="Times New Roman" w:eastAsia="Times New Roman" w:hAnsi="Times New Roman" w:cs="Times New Roman"/>
      <w:sz w:val="20"/>
      <w:szCs w:val="20"/>
      <w:lang w:val="en-IN" w:eastAsia="en-IN"/>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styleId="ListParagraph">
    <w:name w:val="List Paragraph"/>
    <w:basedOn w:val="Normal"/>
    <w:link w:val="ListParagraphChar"/>
    <w:uiPriority w:val="34"/>
    <w:qFormat/>
    <w:rsid w:val="00E25F9F"/>
    <w:pPr>
      <w:ind w:left="720"/>
      <w:contextualSpacing/>
    </w:pPr>
    <w:rPr>
      <w:rFonts w:eastAsia="Times New Roman" w:cs="Arial"/>
      <w:color w:val="000000"/>
      <w:szCs w:val="20"/>
      <w:lang w:val="en-AU"/>
    </w:rPr>
  </w:style>
  <w:style w:type="paragraph" w:styleId="BodyText">
    <w:name w:val="Body Text"/>
    <w:basedOn w:val="Normal"/>
    <w:link w:val="BodyTextChar"/>
    <w:unhideWhenUsed/>
    <w:rsid w:val="00E25F9F"/>
    <w:rPr>
      <w:rFonts w:eastAsia="Times New Roman" w:cs="Arial"/>
      <w:color w:val="000000"/>
      <w:szCs w:val="20"/>
      <w:lang w:val="en-AU"/>
    </w:rPr>
  </w:style>
  <w:style w:type="character" w:customStyle="1" w:styleId="BodyTextChar">
    <w:name w:val="Body Text Char"/>
    <w:basedOn w:val="DefaultParagraphFont"/>
    <w:link w:val="BodyText"/>
    <w:rsid w:val="00E25F9F"/>
    <w:rPr>
      <w:rFonts w:ascii="Arial" w:eastAsia="Times New Roman" w:hAnsi="Arial" w:cs="Arial"/>
      <w:color w:val="000000"/>
      <w:sz w:val="20"/>
      <w:szCs w:val="20"/>
    </w:rPr>
  </w:style>
  <w:style w:type="character" w:customStyle="1" w:styleId="TableHeaderChar">
    <w:name w:val="Table Header Char"/>
    <w:basedOn w:val="DefaultParagraphFont"/>
    <w:link w:val="TableHeader"/>
    <w:rsid w:val="00E25F9F"/>
    <w:rPr>
      <w:rFonts w:ascii="Arial Bold" w:eastAsia="Times New Roman" w:hAnsi="Arial Bold" w:cs="Arial"/>
      <w:b/>
      <w:color w:val="FFFFFF"/>
      <w:sz w:val="20"/>
      <w:szCs w:val="20"/>
    </w:rPr>
  </w:style>
  <w:style w:type="character" w:customStyle="1" w:styleId="TableTextChar">
    <w:name w:val="Table Text Char"/>
    <w:basedOn w:val="DefaultParagraphFont"/>
    <w:link w:val="TableText"/>
    <w:rsid w:val="00E25F9F"/>
    <w:rPr>
      <w:rFonts w:ascii="Arial" w:hAnsi="Arial"/>
      <w:color w:val="091F40"/>
      <w:sz w:val="18"/>
    </w:rPr>
  </w:style>
  <w:style w:type="character" w:customStyle="1" w:styleId="ListParagraphChar">
    <w:name w:val="List Paragraph Char"/>
    <w:link w:val="ListParagraph"/>
    <w:uiPriority w:val="34"/>
    <w:locked/>
    <w:rsid w:val="00E25F9F"/>
    <w:rPr>
      <w:rFonts w:ascii="Arial" w:eastAsia="Times New Roman" w:hAnsi="Arial" w:cs="Arial"/>
      <w:color w:val="000000"/>
      <w:sz w:val="20"/>
      <w:szCs w:val="20"/>
    </w:rPr>
  </w:style>
  <w:style w:type="paragraph" w:customStyle="1" w:styleId="FigureLabel">
    <w:name w:val="Figure Label"/>
    <w:next w:val="Normal"/>
    <w:rsid w:val="00E37BB2"/>
    <w:pPr>
      <w:keepNext/>
      <w:keepLines/>
      <w:tabs>
        <w:tab w:val="left" w:pos="1701"/>
      </w:tabs>
      <w:spacing w:before="60" w:after="120"/>
      <w:ind w:left="1701" w:hanging="907"/>
    </w:pPr>
    <w:rPr>
      <w:rFonts w:ascii="Arial" w:eastAsia="Times New Roman" w:hAnsi="Arial" w:cs="Times New Roman"/>
      <w:i/>
      <w:iCs/>
      <w:color w:val="000000"/>
      <w:sz w:val="20"/>
      <w:szCs w:val="20"/>
    </w:rPr>
  </w:style>
  <w:style w:type="paragraph" w:customStyle="1" w:styleId="Level0-Recitals">
    <w:name w:val="Level 0 - Recitals"/>
    <w:semiHidden/>
    <w:rsid w:val="00B10798"/>
    <w:pPr>
      <w:numPr>
        <w:numId w:val="28"/>
      </w:numPr>
      <w:tabs>
        <w:tab w:val="clear" w:pos="709"/>
        <w:tab w:val="num" w:pos="360"/>
        <w:tab w:val="left" w:pos="851"/>
      </w:tabs>
      <w:spacing w:before="120" w:after="120"/>
      <w:ind w:left="851" w:hanging="851"/>
    </w:pPr>
    <w:rPr>
      <w:rFonts w:ascii="Arial" w:eastAsia="Times New Roman" w:hAnsi="Arial" w:cs="Arial"/>
      <w:sz w:val="20"/>
      <w:szCs w:val="20"/>
    </w:rPr>
  </w:style>
  <w:style w:type="numbering" w:customStyle="1" w:styleId="CurrentList14">
    <w:name w:val="Current List14"/>
    <w:uiPriority w:val="99"/>
    <w:rsid w:val="00B10798"/>
    <w:pPr>
      <w:numPr>
        <w:numId w:val="23"/>
      </w:numPr>
    </w:pPr>
  </w:style>
  <w:style w:type="numbering" w:customStyle="1" w:styleId="CurrentList15">
    <w:name w:val="Current List15"/>
    <w:uiPriority w:val="99"/>
    <w:rsid w:val="00B10798"/>
    <w:pPr>
      <w:numPr>
        <w:numId w:val="24"/>
      </w:numPr>
    </w:pPr>
  </w:style>
  <w:style w:type="numbering" w:customStyle="1" w:styleId="CurrentList16">
    <w:name w:val="Current List16"/>
    <w:uiPriority w:val="99"/>
    <w:rsid w:val="00B10798"/>
    <w:pPr>
      <w:numPr>
        <w:numId w:val="25"/>
      </w:numPr>
    </w:pPr>
  </w:style>
  <w:style w:type="numbering" w:customStyle="1" w:styleId="CurrentList17">
    <w:name w:val="Current List17"/>
    <w:uiPriority w:val="99"/>
    <w:rsid w:val="00B10798"/>
    <w:pPr>
      <w:numPr>
        <w:numId w:val="26"/>
      </w:numPr>
    </w:pPr>
  </w:style>
  <w:style w:type="numbering" w:customStyle="1" w:styleId="CurrentList18">
    <w:name w:val="Current List18"/>
    <w:uiPriority w:val="99"/>
    <w:rsid w:val="00B10798"/>
    <w:pPr>
      <w:numPr>
        <w:numId w:val="27"/>
      </w:numPr>
    </w:pPr>
  </w:style>
  <w:style w:type="paragraph" w:customStyle="1" w:styleId="BodyText-Bulletlist2">
    <w:name w:val="Body Text - Bullet list 2"/>
    <w:basedOn w:val="Normal"/>
    <w:qFormat/>
    <w:rsid w:val="00B10798"/>
    <w:pPr>
      <w:numPr>
        <w:numId w:val="29"/>
      </w:numPr>
      <w:tabs>
        <w:tab w:val="num" w:pos="1587"/>
      </w:tabs>
      <w:adjustRightInd w:val="0"/>
      <w:ind w:left="924" w:hanging="357"/>
      <w:jc w:val="both"/>
    </w:pPr>
    <w:rPr>
      <w:rFonts w:eastAsia="Times New Roman" w:cs="Arial"/>
      <w:lang w:val="en-AU"/>
    </w:rPr>
  </w:style>
  <w:style w:type="paragraph" w:customStyle="1" w:styleId="TableGuidanceText">
    <w:name w:val="Table Guidance Text"/>
    <w:next w:val="TableText"/>
    <w:rsid w:val="00B10798"/>
    <w:pPr>
      <w:spacing w:before="60" w:after="60"/>
    </w:pPr>
    <w:rPr>
      <w:rFonts w:ascii="Arial" w:eastAsia="Times New Roman" w:hAnsi="Arial" w:cs="Arial"/>
      <w:i/>
      <w:vanish/>
      <w:color w:val="0000FF"/>
      <w:sz w:val="18"/>
      <w:szCs w:val="18"/>
    </w:rPr>
  </w:style>
  <w:style w:type="paragraph" w:styleId="FootnoteText">
    <w:name w:val="footnote text"/>
    <w:basedOn w:val="Normal"/>
    <w:link w:val="FootnoteTextChar"/>
    <w:uiPriority w:val="99"/>
    <w:semiHidden/>
    <w:unhideWhenUsed/>
    <w:rsid w:val="00B133C9"/>
    <w:pPr>
      <w:spacing w:after="0" w:line="240" w:lineRule="auto"/>
    </w:pPr>
    <w:rPr>
      <w:szCs w:val="20"/>
    </w:rPr>
  </w:style>
  <w:style w:type="character" w:customStyle="1" w:styleId="FootnoteTextChar">
    <w:name w:val="Footnote Text Char"/>
    <w:basedOn w:val="DefaultParagraphFont"/>
    <w:link w:val="FootnoteText"/>
    <w:uiPriority w:val="99"/>
    <w:semiHidden/>
    <w:rsid w:val="00B133C9"/>
    <w:rPr>
      <w:rFonts w:ascii="Arial" w:hAnsi="Arial"/>
      <w:sz w:val="20"/>
      <w:szCs w:val="20"/>
      <w:lang w:val="en-GB"/>
    </w:rPr>
  </w:style>
  <w:style w:type="character" w:styleId="FootnoteReference">
    <w:name w:val="footnote reference"/>
    <w:basedOn w:val="DefaultParagraphFont"/>
    <w:uiPriority w:val="99"/>
    <w:semiHidden/>
    <w:unhideWhenUsed/>
    <w:rsid w:val="00B133C9"/>
    <w:rPr>
      <w:vertAlign w:val="superscript"/>
    </w:rPr>
  </w:style>
  <w:style w:type="paragraph" w:styleId="TOCHeading">
    <w:name w:val="TOC Heading"/>
    <w:basedOn w:val="Heading1"/>
    <w:next w:val="Normal"/>
    <w:uiPriority w:val="39"/>
    <w:unhideWhenUsed/>
    <w:qFormat/>
    <w:rsid w:val="00481903"/>
    <w:pPr>
      <w:numPr>
        <w:numId w:val="0"/>
      </w:numPr>
      <w:spacing w:after="0" w:line="259" w:lineRule="auto"/>
      <w:outlineLvl w:val="9"/>
    </w:pPr>
    <w:rPr>
      <w:rFonts w:asciiTheme="majorHAnsi" w:hAnsiTheme="majorHAnsi" w:cstheme="majorBidi"/>
      <w:b w:val="0"/>
      <w:color w:val="2F5496" w:themeColor="accent1" w:themeShade="BF"/>
      <w:sz w:val="32"/>
      <w:lang w:val="en-US"/>
    </w:rPr>
  </w:style>
  <w:style w:type="character" w:styleId="CommentReference">
    <w:name w:val="annotation reference"/>
    <w:basedOn w:val="DefaultParagraphFont"/>
    <w:uiPriority w:val="99"/>
    <w:semiHidden/>
    <w:unhideWhenUsed/>
    <w:rsid w:val="00823F21"/>
    <w:rPr>
      <w:sz w:val="16"/>
      <w:szCs w:val="16"/>
    </w:rPr>
  </w:style>
  <w:style w:type="paragraph" w:styleId="CommentText">
    <w:name w:val="annotation text"/>
    <w:basedOn w:val="Normal"/>
    <w:link w:val="CommentTextChar"/>
    <w:uiPriority w:val="99"/>
    <w:unhideWhenUsed/>
    <w:rsid w:val="00823F21"/>
    <w:pPr>
      <w:spacing w:line="240" w:lineRule="auto"/>
    </w:pPr>
    <w:rPr>
      <w:szCs w:val="20"/>
    </w:rPr>
  </w:style>
  <w:style w:type="character" w:customStyle="1" w:styleId="CommentTextChar">
    <w:name w:val="Comment Text Char"/>
    <w:basedOn w:val="DefaultParagraphFont"/>
    <w:link w:val="CommentText"/>
    <w:uiPriority w:val="99"/>
    <w:rsid w:val="00823F21"/>
    <w:rPr>
      <w:rFonts w:ascii="Arial" w:hAnsi="Arial"/>
      <w:sz w:val="20"/>
      <w:szCs w:val="20"/>
      <w:lang w:val="en-GB"/>
    </w:rPr>
  </w:style>
  <w:style w:type="paragraph" w:styleId="CommentSubject">
    <w:name w:val="annotation subject"/>
    <w:basedOn w:val="CommentText"/>
    <w:next w:val="CommentText"/>
    <w:link w:val="CommentSubjectChar"/>
    <w:uiPriority w:val="99"/>
    <w:semiHidden/>
    <w:unhideWhenUsed/>
    <w:rsid w:val="00823F21"/>
    <w:rPr>
      <w:b/>
      <w:bCs/>
    </w:rPr>
  </w:style>
  <w:style w:type="character" w:customStyle="1" w:styleId="CommentSubjectChar">
    <w:name w:val="Comment Subject Char"/>
    <w:basedOn w:val="CommentTextChar"/>
    <w:link w:val="CommentSubject"/>
    <w:uiPriority w:val="99"/>
    <w:semiHidden/>
    <w:rsid w:val="00823F21"/>
    <w:rPr>
      <w:rFonts w:ascii="Arial" w:hAnsi="Arial"/>
      <w:b/>
      <w:bCs/>
      <w:sz w:val="20"/>
      <w:szCs w:val="20"/>
      <w:lang w:val="en-GB"/>
    </w:rPr>
  </w:style>
  <w:style w:type="paragraph" w:styleId="Revision">
    <w:name w:val="Revision"/>
    <w:hidden/>
    <w:uiPriority w:val="99"/>
    <w:semiHidden/>
    <w:rsid w:val="005A7C53"/>
    <w:rPr>
      <w:rFonts w:ascii="Arial" w:hAnsi="Arial"/>
      <w:sz w:val="20"/>
      <w:lang w:val="en-GB"/>
    </w:rPr>
  </w:style>
  <w:style w:type="paragraph" w:styleId="Date">
    <w:name w:val="Date"/>
    <w:basedOn w:val="Normal"/>
    <w:next w:val="Normal"/>
    <w:link w:val="DateChar"/>
    <w:uiPriority w:val="99"/>
    <w:semiHidden/>
    <w:unhideWhenUsed/>
    <w:rsid w:val="005A7C53"/>
  </w:style>
  <w:style w:type="character" w:customStyle="1" w:styleId="DateChar">
    <w:name w:val="Date Char"/>
    <w:basedOn w:val="DefaultParagraphFont"/>
    <w:link w:val="Date"/>
    <w:uiPriority w:val="99"/>
    <w:semiHidden/>
    <w:rsid w:val="005A7C53"/>
    <w:rPr>
      <w:rFonts w:ascii="Arial" w:hAnsi="Arial"/>
      <w:sz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4E90EE-0C6E-48DE-BD07-1EEAA67F7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32</Pages>
  <Words>11879</Words>
  <Characters>67711</Characters>
  <Application>Microsoft Office Word</Application>
  <DocSecurity>0</DocSecurity>
  <Lines>564</Lines>
  <Paragraphs>158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Gumbleton</dc:creator>
  <cp:keywords/>
  <dc:description/>
  <cp:lastModifiedBy>Emma Gumbleton</cp:lastModifiedBy>
  <cp:revision>4</cp:revision>
  <cp:lastPrinted>2021-12-24T01:16:00Z</cp:lastPrinted>
  <dcterms:created xsi:type="dcterms:W3CDTF">2022-09-18T22:17:00Z</dcterms:created>
  <dcterms:modified xsi:type="dcterms:W3CDTF">2022-09-18T22:38:00Z</dcterms:modified>
</cp:coreProperties>
</file>